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D2749" w:rsidRDefault="00DD2749" w:rsidP="001741D2">
      <w:pPr>
        <w:spacing w:line="480" w:lineRule="auto"/>
        <w:jc w:val="center"/>
        <w:rPr>
          <w:lang w:val="en-US"/>
        </w:rPr>
      </w:pPr>
    </w:p>
    <w:p w:rsidR="00DD2749" w:rsidRDefault="00DD2749" w:rsidP="001741D2">
      <w:pPr>
        <w:spacing w:line="480" w:lineRule="auto"/>
        <w:jc w:val="center"/>
        <w:rPr>
          <w:lang w:val="en-US"/>
        </w:rPr>
      </w:pPr>
    </w:p>
    <w:p w:rsidR="00DD2749" w:rsidRDefault="00DD2749" w:rsidP="001741D2">
      <w:pPr>
        <w:spacing w:line="480" w:lineRule="auto"/>
        <w:jc w:val="center"/>
        <w:rPr>
          <w:lang w:val="en-US"/>
        </w:rPr>
      </w:pPr>
    </w:p>
    <w:p w:rsidR="00DD2749" w:rsidRDefault="00DD2749" w:rsidP="001741D2">
      <w:pPr>
        <w:spacing w:line="480" w:lineRule="auto"/>
        <w:jc w:val="center"/>
        <w:rPr>
          <w:lang w:val="en-US"/>
        </w:rPr>
      </w:pPr>
    </w:p>
    <w:p w:rsidR="00DD2749" w:rsidRDefault="00DD2749" w:rsidP="001741D2">
      <w:pPr>
        <w:spacing w:line="480" w:lineRule="auto"/>
        <w:jc w:val="center"/>
        <w:rPr>
          <w:lang w:val="en-US"/>
        </w:rPr>
      </w:pPr>
    </w:p>
    <w:p w:rsidR="00DD2749" w:rsidRDefault="00DD2749" w:rsidP="001741D2">
      <w:pPr>
        <w:jc w:val="center"/>
        <w:rPr>
          <w:lang w:val="en-US"/>
        </w:rPr>
      </w:pPr>
    </w:p>
    <w:p w:rsidR="00DD2749" w:rsidRDefault="00DD2749" w:rsidP="001741D2">
      <w:pPr>
        <w:jc w:val="center"/>
        <w:rPr>
          <w:lang w:val="en-US"/>
        </w:rPr>
      </w:pPr>
    </w:p>
    <w:p w:rsidR="00DD2749" w:rsidRDefault="00DD2749" w:rsidP="001741D2">
      <w:pPr>
        <w:jc w:val="center"/>
        <w:rPr>
          <w:lang w:val="en-US"/>
        </w:rPr>
      </w:pPr>
    </w:p>
    <w:p w:rsidR="00DD2749" w:rsidRDefault="00DD2749" w:rsidP="001741D2">
      <w:pPr>
        <w:jc w:val="center"/>
        <w:rPr>
          <w:lang w:val="en-US"/>
        </w:rPr>
      </w:pPr>
      <w:r>
        <w:rPr>
          <w:lang w:val="en-US"/>
        </w:rPr>
        <w:t>A Profile of KNM-ER 1813</w:t>
      </w:r>
      <w:r w:rsidR="001741D2">
        <w:rPr>
          <w:lang w:val="en-US"/>
        </w:rPr>
        <w:t>: The State of Early Homo from the Specimen’s Perspective</w:t>
      </w:r>
    </w:p>
    <w:p w:rsidR="00DD2749" w:rsidRDefault="00DD2749" w:rsidP="001741D2">
      <w:pPr>
        <w:jc w:val="center"/>
        <w:rPr>
          <w:lang w:val="en-US"/>
        </w:rPr>
      </w:pPr>
    </w:p>
    <w:p w:rsidR="00DD2749" w:rsidRDefault="00DD2749" w:rsidP="001741D2">
      <w:pPr>
        <w:jc w:val="center"/>
        <w:rPr>
          <w:lang w:val="en-US"/>
        </w:rPr>
      </w:pPr>
    </w:p>
    <w:p w:rsidR="00DD2749" w:rsidRDefault="00DD2749" w:rsidP="001741D2">
      <w:pPr>
        <w:jc w:val="center"/>
        <w:rPr>
          <w:lang w:val="en-US"/>
        </w:rPr>
      </w:pPr>
    </w:p>
    <w:p w:rsidR="00DD2749" w:rsidRDefault="00DD2749" w:rsidP="001741D2">
      <w:pPr>
        <w:jc w:val="center"/>
        <w:rPr>
          <w:lang w:val="en-US"/>
        </w:rPr>
      </w:pPr>
    </w:p>
    <w:p w:rsidR="00DD2749" w:rsidRDefault="00DD2749" w:rsidP="001741D2">
      <w:pPr>
        <w:jc w:val="center"/>
        <w:rPr>
          <w:lang w:val="en-US"/>
        </w:rPr>
      </w:pPr>
    </w:p>
    <w:p w:rsidR="00DD2749" w:rsidRDefault="00DD2749" w:rsidP="001741D2">
      <w:pPr>
        <w:jc w:val="center"/>
        <w:rPr>
          <w:lang w:val="en-US"/>
        </w:rPr>
      </w:pPr>
    </w:p>
    <w:p w:rsidR="00DD2749" w:rsidRDefault="00DD2749" w:rsidP="001741D2">
      <w:pPr>
        <w:jc w:val="center"/>
        <w:rPr>
          <w:lang w:val="en-US"/>
        </w:rPr>
      </w:pPr>
    </w:p>
    <w:p w:rsidR="00DD2749" w:rsidRDefault="00DD2749" w:rsidP="001741D2">
      <w:pPr>
        <w:jc w:val="center"/>
        <w:rPr>
          <w:lang w:val="en-US"/>
        </w:rPr>
      </w:pPr>
    </w:p>
    <w:p w:rsidR="00DD2749" w:rsidRDefault="00DD2749" w:rsidP="001741D2">
      <w:pPr>
        <w:jc w:val="center"/>
        <w:rPr>
          <w:lang w:val="en-US"/>
        </w:rPr>
      </w:pPr>
    </w:p>
    <w:p w:rsidR="00DD2749" w:rsidRDefault="00DD2749" w:rsidP="001741D2">
      <w:pPr>
        <w:jc w:val="center"/>
        <w:rPr>
          <w:lang w:val="en-US"/>
        </w:rPr>
      </w:pPr>
    </w:p>
    <w:p w:rsidR="00DD2749" w:rsidRDefault="00DD2749" w:rsidP="001741D2">
      <w:pPr>
        <w:jc w:val="center"/>
        <w:rPr>
          <w:lang w:val="en-US"/>
        </w:rPr>
      </w:pPr>
    </w:p>
    <w:p w:rsidR="00DD2749" w:rsidRDefault="00DD2749" w:rsidP="001741D2">
      <w:pPr>
        <w:jc w:val="center"/>
        <w:rPr>
          <w:lang w:val="en-US"/>
        </w:rPr>
      </w:pPr>
    </w:p>
    <w:p w:rsidR="00DD2749" w:rsidRDefault="00DD2749" w:rsidP="001741D2">
      <w:pPr>
        <w:jc w:val="center"/>
        <w:rPr>
          <w:lang w:val="en-US"/>
        </w:rPr>
      </w:pPr>
    </w:p>
    <w:p w:rsidR="002E3C7E" w:rsidRPr="007B76B5" w:rsidRDefault="007B76B5" w:rsidP="001741D2">
      <w:pPr>
        <w:jc w:val="center"/>
        <w:rPr>
          <w:lang w:val="en-US"/>
        </w:rPr>
      </w:pPr>
      <w:r w:rsidRPr="007B76B5">
        <w:rPr>
          <w:lang w:val="en-US"/>
        </w:rPr>
        <w:t>Nicole Schapker</w:t>
      </w:r>
    </w:p>
    <w:p w:rsidR="00DD2749" w:rsidRDefault="00DD2749" w:rsidP="001741D2">
      <w:pPr>
        <w:jc w:val="center"/>
        <w:rPr>
          <w:lang w:val="en-US"/>
        </w:rPr>
      </w:pPr>
      <w:r>
        <w:rPr>
          <w:lang w:val="en-US"/>
        </w:rPr>
        <w:t>24 April 2017</w:t>
      </w:r>
    </w:p>
    <w:p w:rsidR="007B76B5" w:rsidRDefault="00DD2749" w:rsidP="001741D2">
      <w:pPr>
        <w:jc w:val="center"/>
        <w:rPr>
          <w:lang w:val="en-US"/>
        </w:rPr>
      </w:pPr>
      <w:r>
        <w:rPr>
          <w:lang w:val="en-US"/>
        </w:rPr>
        <w:t xml:space="preserve">ATH 355 </w:t>
      </w:r>
    </w:p>
    <w:p w:rsidR="00DD2749" w:rsidRDefault="00C63A1B" w:rsidP="001741D2">
      <w:pPr>
        <w:spacing w:line="480" w:lineRule="auto"/>
        <w:jc w:val="center"/>
        <w:rPr>
          <w:lang w:val="en-US"/>
        </w:rPr>
      </w:pPr>
      <w:r>
        <w:rPr>
          <w:lang w:val="en-US"/>
        </w:rPr>
        <w:t>Word Count: 2175</w:t>
      </w:r>
    </w:p>
    <w:p w:rsidR="00DD2749" w:rsidRDefault="00DD2749" w:rsidP="001741D2">
      <w:pPr>
        <w:spacing w:line="480" w:lineRule="auto"/>
        <w:jc w:val="center"/>
        <w:rPr>
          <w:lang w:val="en-US"/>
        </w:rPr>
      </w:pPr>
    </w:p>
    <w:p w:rsidR="00DD2749" w:rsidRDefault="00DD2749" w:rsidP="001741D2">
      <w:pPr>
        <w:spacing w:line="480" w:lineRule="auto"/>
        <w:jc w:val="center"/>
        <w:rPr>
          <w:lang w:val="en-US"/>
        </w:rPr>
      </w:pPr>
    </w:p>
    <w:p w:rsidR="00DD2749" w:rsidRDefault="00DD2749" w:rsidP="001741D2">
      <w:pPr>
        <w:spacing w:line="480" w:lineRule="auto"/>
        <w:jc w:val="center"/>
        <w:rPr>
          <w:lang w:val="en-US"/>
        </w:rPr>
      </w:pPr>
    </w:p>
    <w:p w:rsidR="00DD2749" w:rsidRDefault="00DD2749" w:rsidP="001741D2">
      <w:pPr>
        <w:spacing w:line="480" w:lineRule="auto"/>
        <w:rPr>
          <w:lang w:val="en-US"/>
        </w:rPr>
      </w:pPr>
    </w:p>
    <w:p w:rsidR="001741D2" w:rsidRDefault="001741D2" w:rsidP="001741D2">
      <w:pPr>
        <w:spacing w:line="480" w:lineRule="auto"/>
        <w:rPr>
          <w:lang w:val="en-US"/>
        </w:rPr>
      </w:pPr>
    </w:p>
    <w:p w:rsidR="00FD7E67" w:rsidRDefault="00FD7E67" w:rsidP="001741D2">
      <w:pPr>
        <w:spacing w:line="480" w:lineRule="auto"/>
        <w:rPr>
          <w:b/>
          <w:lang w:val="en-US"/>
        </w:rPr>
        <w:sectPr w:rsidR="00FD7E67" w:rsidSect="000116DD">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cols w:space="720"/>
          <w:titlePg/>
          <w:docGrid w:linePitch="360"/>
        </w:sectPr>
      </w:pPr>
    </w:p>
    <w:p w:rsidR="008D1570" w:rsidRDefault="008D1570" w:rsidP="001741D2">
      <w:pPr>
        <w:spacing w:line="480" w:lineRule="auto"/>
        <w:rPr>
          <w:lang w:val="en-US"/>
        </w:rPr>
      </w:pPr>
      <w:r>
        <w:rPr>
          <w:b/>
          <w:lang w:val="en-US"/>
        </w:rPr>
        <w:lastRenderedPageBreak/>
        <w:t>Introduction</w:t>
      </w:r>
      <w:r w:rsidR="00402840">
        <w:rPr>
          <w:lang w:val="en-US"/>
        </w:rPr>
        <w:tab/>
      </w:r>
    </w:p>
    <w:p w:rsidR="008D1570" w:rsidRDefault="00D9086E" w:rsidP="001741D2">
      <w:pPr>
        <w:spacing w:line="480" w:lineRule="auto"/>
        <w:ind w:firstLine="720"/>
        <w:rPr>
          <w:lang w:val="en-US"/>
        </w:rPr>
      </w:pPr>
      <w:r>
        <w:rPr>
          <w:lang w:val="en-US"/>
        </w:rPr>
        <w:t>Since the search for hominid fossils</w:t>
      </w:r>
      <w:r w:rsidR="00DD2749">
        <w:rPr>
          <w:lang w:val="en-US"/>
        </w:rPr>
        <w:t xml:space="preserve"> </w:t>
      </w:r>
      <w:r w:rsidR="00402840">
        <w:rPr>
          <w:lang w:val="en-US"/>
        </w:rPr>
        <w:t xml:space="preserve">came into full swing by the mid and late twentieth century, </w:t>
      </w:r>
      <w:r>
        <w:rPr>
          <w:lang w:val="en-US"/>
        </w:rPr>
        <w:t>the</w:t>
      </w:r>
      <w:r w:rsidR="006556A0">
        <w:rPr>
          <w:lang w:val="en-US"/>
        </w:rPr>
        <w:t xml:space="preserve"> amount of variation that continues to be uncovered has generated intense debate over the classification of our earliest ancestors</w:t>
      </w:r>
      <w:r w:rsidR="00402840">
        <w:rPr>
          <w:lang w:val="en-US"/>
        </w:rPr>
        <w:t xml:space="preserve">. The evidence is fragmentary at best, and what is unearthed often only adds to the </w:t>
      </w:r>
      <w:r w:rsidR="006D7715">
        <w:rPr>
          <w:lang w:val="en-US"/>
        </w:rPr>
        <w:t>confusion. Specimen KNM-ER 1813, uncovered in 1973 in Koobi Fora, is a prime example of this, caught in the battle as one of the cornerstone specimens for possible splitters, lumpers, and reformers of the hominin phylogenetic tree</w:t>
      </w:r>
      <w:r w:rsidR="008830A5">
        <w:rPr>
          <w:lang w:val="en-US"/>
        </w:rPr>
        <w:t xml:space="preserve">s. Today’s scientists must identify what is most important </w:t>
      </w:r>
      <w:r w:rsidR="008D1570">
        <w:rPr>
          <w:lang w:val="en-US"/>
        </w:rPr>
        <w:t xml:space="preserve">when </w:t>
      </w:r>
      <w:r w:rsidR="008830A5">
        <w:rPr>
          <w:lang w:val="en-US"/>
        </w:rPr>
        <w:t xml:space="preserve">partitioning </w:t>
      </w:r>
      <w:r w:rsidR="008D1570">
        <w:rPr>
          <w:lang w:val="en-US"/>
        </w:rPr>
        <w:t>these specimens: size, morphology, biogeography, and range of territory. The former two have been reinterpreted many times over in relation to KNM-ER 1813</w:t>
      </w:r>
      <w:r w:rsidR="001741D2">
        <w:rPr>
          <w:lang w:val="en-US"/>
        </w:rPr>
        <w:t xml:space="preserve"> and how one might define early or </w:t>
      </w:r>
      <w:r w:rsidR="008D1570">
        <w:rPr>
          <w:lang w:val="en-US"/>
        </w:rPr>
        <w:t xml:space="preserve">transitional </w:t>
      </w:r>
      <w:r w:rsidR="008D1570">
        <w:rPr>
          <w:i/>
          <w:lang w:val="en-US"/>
        </w:rPr>
        <w:t>Homo.</w:t>
      </w:r>
      <w:r w:rsidR="008D1570">
        <w:rPr>
          <w:lang w:val="en-US"/>
        </w:rPr>
        <w:t xml:space="preserve"> </w:t>
      </w:r>
    </w:p>
    <w:p w:rsidR="008D1570" w:rsidRDefault="008D1570" w:rsidP="001741D2">
      <w:pPr>
        <w:spacing w:line="480" w:lineRule="auto"/>
        <w:rPr>
          <w:b/>
          <w:lang w:val="en-US"/>
        </w:rPr>
      </w:pPr>
      <w:r>
        <w:rPr>
          <w:b/>
          <w:lang w:val="en-US"/>
        </w:rPr>
        <w:t>What</w:t>
      </w:r>
      <w:r w:rsidR="005C38CF">
        <w:rPr>
          <w:b/>
          <w:lang w:val="en-US"/>
        </w:rPr>
        <w:t>, Where,</w:t>
      </w:r>
      <w:r>
        <w:rPr>
          <w:b/>
          <w:lang w:val="en-US"/>
        </w:rPr>
        <w:t xml:space="preserve"> and When?</w:t>
      </w:r>
    </w:p>
    <w:p w:rsidR="004975E1" w:rsidRPr="00C41465" w:rsidRDefault="008D1570" w:rsidP="001741D2">
      <w:pPr>
        <w:spacing w:line="480" w:lineRule="auto"/>
        <w:rPr>
          <w:lang w:val="en-US"/>
        </w:rPr>
      </w:pPr>
      <w:r>
        <w:rPr>
          <w:b/>
          <w:lang w:val="en-US"/>
        </w:rPr>
        <w:tab/>
      </w:r>
      <w:r>
        <w:rPr>
          <w:lang w:val="en-US"/>
        </w:rPr>
        <w:t>KNM-ER 1813 was one of twenty specimens uncovered over the course of the 1972-1973 field season in Koobi Fora</w:t>
      </w:r>
      <w:r w:rsidR="00B92565">
        <w:rPr>
          <w:lang w:val="en-US"/>
        </w:rPr>
        <w:t xml:space="preserve"> led by </w:t>
      </w:r>
      <w:r w:rsidR="00821923">
        <w:rPr>
          <w:lang w:val="en-US"/>
        </w:rPr>
        <w:t>Richard</w:t>
      </w:r>
      <w:r w:rsidR="004949B8">
        <w:rPr>
          <w:lang w:val="en-US"/>
        </w:rPr>
        <w:t xml:space="preserve"> Leakey</w:t>
      </w:r>
      <w:r w:rsidR="00B92565">
        <w:rPr>
          <w:lang w:val="en-US"/>
        </w:rPr>
        <w:t xml:space="preserve"> </w:t>
      </w:r>
      <w:sdt>
        <w:sdtPr>
          <w:rPr>
            <w:lang w:val="en-US"/>
          </w:rPr>
          <w:id w:val="-755058748"/>
          <w:citation/>
        </w:sdtPr>
        <w:sdtEndPr/>
        <w:sdtContent>
          <w:r w:rsidR="00A61673">
            <w:rPr>
              <w:lang w:val="en-US"/>
            </w:rPr>
            <w:fldChar w:fldCharType="begin"/>
          </w:r>
          <w:r w:rsidR="00C41465">
            <w:rPr>
              <w:lang w:val="en-US"/>
            </w:rPr>
            <w:instrText xml:space="preserve">CITATION Lea74 \t  \l 1033 </w:instrText>
          </w:r>
          <w:r w:rsidR="00A61673">
            <w:rPr>
              <w:lang w:val="en-US"/>
            </w:rPr>
            <w:fldChar w:fldCharType="separate"/>
          </w:r>
          <w:r w:rsidR="001741D2" w:rsidRPr="001741D2">
            <w:rPr>
              <w:noProof/>
              <w:lang w:val="en-US"/>
            </w:rPr>
            <w:t>(Leakey R. , 1974)</w:t>
          </w:r>
          <w:r w:rsidR="00A61673">
            <w:rPr>
              <w:lang w:val="en-US"/>
            </w:rPr>
            <w:fldChar w:fldCharType="end"/>
          </w:r>
        </w:sdtContent>
      </w:sdt>
      <w:r w:rsidR="00821923">
        <w:rPr>
          <w:lang w:val="en-US"/>
        </w:rPr>
        <w:t xml:space="preserve">. The fossil is a fragmented cranium, consisting of most of the cranial vault, a rather prominent supraorbital torus, </w:t>
      </w:r>
      <w:r w:rsidR="00A61673">
        <w:rPr>
          <w:lang w:val="en-US"/>
        </w:rPr>
        <w:t xml:space="preserve">the right zygoma, and a mostly </w:t>
      </w:r>
      <w:r w:rsidR="00821923">
        <w:rPr>
          <w:lang w:val="en-US"/>
        </w:rPr>
        <w:t>intact maxilla containing well-preserved left P</w:t>
      </w:r>
      <w:r w:rsidR="00821923">
        <w:rPr>
          <w:vertAlign w:val="superscript"/>
          <w:lang w:val="en-US"/>
        </w:rPr>
        <w:t>3</w:t>
      </w:r>
      <w:r w:rsidR="00821923">
        <w:rPr>
          <w:lang w:val="en-US"/>
        </w:rPr>
        <w:t xml:space="preserve"> to M</w:t>
      </w:r>
      <w:r w:rsidR="00821923">
        <w:rPr>
          <w:vertAlign w:val="superscript"/>
          <w:lang w:val="en-US"/>
        </w:rPr>
        <w:t>3</w:t>
      </w:r>
      <w:r w:rsidR="00821923">
        <w:rPr>
          <w:lang w:val="en-US"/>
        </w:rPr>
        <w:t xml:space="preserve"> and right M</w:t>
      </w:r>
      <w:r w:rsidR="00821923">
        <w:rPr>
          <w:vertAlign w:val="superscript"/>
          <w:lang w:val="en-US"/>
        </w:rPr>
        <w:t>3</w:t>
      </w:r>
      <w:r w:rsidR="00821923">
        <w:rPr>
          <w:lang w:val="en-US"/>
        </w:rPr>
        <w:t xml:space="preserve"> (see Figure 1).</w:t>
      </w:r>
      <w:r w:rsidR="00953BA2">
        <w:rPr>
          <w:lang w:val="en-US"/>
        </w:rPr>
        <w:t xml:space="preserve"> Its fragmented state meant that reconstruction was necessary, though its relative completeness made this easier than other cases</w:t>
      </w:r>
      <w:r w:rsidR="00BA67B5">
        <w:rPr>
          <w:lang w:val="en-US"/>
        </w:rPr>
        <w:t>, and no rearrangements of the fragments have been suggested</w:t>
      </w:r>
      <w:r w:rsidR="00953BA2">
        <w:rPr>
          <w:lang w:val="en-US"/>
        </w:rPr>
        <w:t>.</w:t>
      </w:r>
      <w:r w:rsidR="00821923">
        <w:rPr>
          <w:lang w:val="en-US"/>
        </w:rPr>
        <w:t xml:space="preserve"> </w:t>
      </w:r>
      <w:r w:rsidR="00A61673">
        <w:rPr>
          <w:lang w:val="en-US"/>
        </w:rPr>
        <w:t xml:space="preserve">In this initial announcement, each of the twenty specimens were deemed some form of transitional </w:t>
      </w:r>
      <w:r w:rsidR="00A61673">
        <w:rPr>
          <w:i/>
          <w:lang w:val="en-US"/>
        </w:rPr>
        <w:t>Homo</w:t>
      </w:r>
      <w:r w:rsidR="00A61673">
        <w:rPr>
          <w:lang w:val="en-US"/>
        </w:rPr>
        <w:t>, still small-brained and prognathic though slightly more gracile than</w:t>
      </w:r>
      <w:r w:rsidR="004975E1">
        <w:rPr>
          <w:lang w:val="en-US"/>
        </w:rPr>
        <w:t xml:space="preserve"> Australopithecines from before</w:t>
      </w:r>
      <w:r w:rsidR="00BA67B5">
        <w:rPr>
          <w:lang w:val="en-US"/>
        </w:rPr>
        <w:t xml:space="preserve"> like </w:t>
      </w:r>
      <w:r w:rsidR="00BA67B5">
        <w:rPr>
          <w:i/>
          <w:lang w:val="en-US"/>
        </w:rPr>
        <w:t>A. afarensis</w:t>
      </w:r>
      <w:r w:rsidR="00BA67B5">
        <w:rPr>
          <w:lang w:val="en-US"/>
        </w:rPr>
        <w:t xml:space="preserve"> or </w:t>
      </w:r>
      <w:r w:rsidR="00BA67B5">
        <w:rPr>
          <w:i/>
          <w:lang w:val="en-US"/>
        </w:rPr>
        <w:t xml:space="preserve">P. </w:t>
      </w:r>
      <w:proofErr w:type="spellStart"/>
      <w:r w:rsidR="00BA67B5">
        <w:rPr>
          <w:i/>
          <w:lang w:val="en-US"/>
        </w:rPr>
        <w:t>bosei</w:t>
      </w:r>
      <w:proofErr w:type="spellEnd"/>
      <w:r w:rsidR="004975E1">
        <w:rPr>
          <w:lang w:val="en-US"/>
        </w:rPr>
        <w:t>.</w:t>
      </w:r>
      <w:r w:rsidR="00C41465">
        <w:rPr>
          <w:lang w:val="en-US"/>
        </w:rPr>
        <w:t xml:space="preserve"> These remains were not found with any sort of tool, but if the assignment to </w:t>
      </w:r>
      <w:r w:rsidR="00C41465">
        <w:rPr>
          <w:i/>
          <w:lang w:val="en-US"/>
        </w:rPr>
        <w:t>H. habilis</w:t>
      </w:r>
      <w:r w:rsidR="00C41465">
        <w:rPr>
          <w:lang w:val="en-US"/>
        </w:rPr>
        <w:t xml:space="preserve"> stands true (discussed below), then these creatures would have been using Oldowan tools, consisting of chopping tools of limited modification </w:t>
      </w:r>
      <w:sdt>
        <w:sdtPr>
          <w:rPr>
            <w:lang w:val="en-US"/>
          </w:rPr>
          <w:id w:val="1218312820"/>
          <w:citation/>
        </w:sdtPr>
        <w:sdtEndPr/>
        <w:sdtContent>
          <w:r w:rsidR="00C41465">
            <w:rPr>
              <w:lang w:val="en-US"/>
            </w:rPr>
            <w:fldChar w:fldCharType="begin"/>
          </w:r>
          <w:r w:rsidR="00C41465">
            <w:rPr>
              <w:lang w:val="en-US"/>
            </w:rPr>
            <w:instrText xml:space="preserve"> CITATION Lea64 \l 1033 </w:instrText>
          </w:r>
          <w:r w:rsidR="00C41465">
            <w:rPr>
              <w:lang w:val="en-US"/>
            </w:rPr>
            <w:fldChar w:fldCharType="separate"/>
          </w:r>
          <w:r w:rsidR="001741D2" w:rsidRPr="001741D2">
            <w:rPr>
              <w:noProof/>
              <w:lang w:val="en-US"/>
            </w:rPr>
            <w:t>(Leakey, Tobias, &amp; Napier, 1964)</w:t>
          </w:r>
          <w:r w:rsidR="00C41465">
            <w:rPr>
              <w:lang w:val="en-US"/>
            </w:rPr>
            <w:fldChar w:fldCharType="end"/>
          </w:r>
        </w:sdtContent>
      </w:sdt>
      <w:r w:rsidR="00C41465">
        <w:rPr>
          <w:lang w:val="en-US"/>
        </w:rPr>
        <w:t>.</w:t>
      </w:r>
    </w:p>
    <w:p w:rsidR="00821923" w:rsidRPr="00821923" w:rsidRDefault="00821923" w:rsidP="00BA67B5">
      <w:pPr>
        <w:spacing w:line="480" w:lineRule="auto"/>
        <w:ind w:firstLine="720"/>
        <w:rPr>
          <w:lang w:val="en-US"/>
        </w:rPr>
      </w:pPr>
      <w:r>
        <w:rPr>
          <w:noProof/>
          <w:lang w:val="en-US"/>
        </w:rPr>
        <w:lastRenderedPageBreak/>
        <mc:AlternateContent>
          <mc:Choice Requires="wps">
            <w:drawing>
              <wp:anchor distT="0" distB="0" distL="114300" distR="114300" simplePos="0" relativeHeight="251660288" behindDoc="0" locked="0" layoutInCell="1" allowOverlap="1" wp14:anchorId="03740A5A" wp14:editId="15BDDE9D">
                <wp:simplePos x="0" y="0"/>
                <wp:positionH relativeFrom="column">
                  <wp:posOffset>0</wp:posOffset>
                </wp:positionH>
                <wp:positionV relativeFrom="paragraph">
                  <wp:posOffset>3230245</wp:posOffset>
                </wp:positionV>
                <wp:extent cx="3175635" cy="635"/>
                <wp:effectExtent l="0" t="0" r="5715" b="18415"/>
                <wp:wrapSquare wrapText="bothSides"/>
                <wp:docPr id="2" name="Text Box 2"/>
                <wp:cNvGraphicFramePr/>
                <a:graphic xmlns:a="http://schemas.openxmlformats.org/drawingml/2006/main">
                  <a:graphicData uri="http://schemas.microsoft.com/office/word/2010/wordprocessingShape">
                    <wps:wsp>
                      <wps:cNvSpPr txBox="1"/>
                      <wps:spPr>
                        <a:xfrm>
                          <a:off x="0" y="0"/>
                          <a:ext cx="3175635" cy="635"/>
                        </a:xfrm>
                        <a:prstGeom prst="rect">
                          <a:avLst/>
                        </a:prstGeom>
                        <a:solidFill>
                          <a:prstClr val="white"/>
                        </a:solidFill>
                        <a:ln>
                          <a:noFill/>
                        </a:ln>
                      </wps:spPr>
                      <wps:txbx>
                        <w:txbxContent>
                          <w:p w:rsidR="00AB7498" w:rsidRPr="00D761C7" w:rsidRDefault="00AB7498" w:rsidP="00821923">
                            <w:pPr>
                              <w:pStyle w:val="Caption"/>
                              <w:rPr>
                                <w:noProof/>
                                <w:sz w:val="24"/>
                              </w:rPr>
                            </w:pPr>
                            <w:r w:rsidRPr="00821923">
                              <w:rPr>
                                <w:lang w:val="en-US"/>
                              </w:rPr>
                              <w:t xml:space="preserve">Figure </w:t>
                            </w:r>
                            <w:r>
                              <w:fldChar w:fldCharType="begin"/>
                            </w:r>
                            <w:r w:rsidRPr="00821923">
                              <w:rPr>
                                <w:lang w:val="en-US"/>
                              </w:rPr>
                              <w:instrText xml:space="preserve"> SEQ Figure \* ARABIC </w:instrText>
                            </w:r>
                            <w:r>
                              <w:fldChar w:fldCharType="separate"/>
                            </w:r>
                            <w:r w:rsidR="00BA67B5">
                              <w:rPr>
                                <w:noProof/>
                                <w:lang w:val="en-US"/>
                              </w:rPr>
                              <w:t>1</w:t>
                            </w:r>
                            <w:r>
                              <w:fldChar w:fldCharType="end"/>
                            </w:r>
                            <w:r w:rsidRPr="00821923">
                              <w:rPr>
                                <w:lang w:val="en-US"/>
                              </w:rPr>
                              <w:t xml:space="preserve">. KNM-ER 1813 in Three-Quarter Profile. </w:t>
                            </w:r>
                            <w:proofErr w:type="spellStart"/>
                            <w:r>
                              <w:t>Image</w:t>
                            </w:r>
                            <w:proofErr w:type="spellEnd"/>
                            <w:r>
                              <w:t xml:space="preserve"> </w:t>
                            </w:r>
                            <w:proofErr w:type="spellStart"/>
                            <w:r>
                              <w:t>from</w:t>
                            </w:r>
                            <w:proofErr w:type="spellEnd"/>
                            <w:r>
                              <w:t xml:space="preserve"> </w:t>
                            </w:r>
                            <w:proofErr w:type="spellStart"/>
                            <w:r>
                              <w:t>Smithsonian</w:t>
                            </w:r>
                            <w:proofErr w:type="spellEnd"/>
                            <w:r>
                              <w:t xml:space="preserve"> </w:t>
                            </w:r>
                            <w:proofErr w:type="spellStart"/>
                            <w:r>
                              <w:t>Institute</w:t>
                            </w:r>
                            <w:proofErr w:type="spellEnd"/>
                            <w:r>
                              <w:t xml:space="preserve"> Human </w:t>
                            </w:r>
                            <w:proofErr w:type="spellStart"/>
                            <w:r>
                              <w:t>Origins</w:t>
                            </w:r>
                            <w:proofErr w:type="spellEnd"/>
                            <w:r>
                              <w:t xml:space="preserve"> </w:t>
                            </w:r>
                            <w:proofErr w:type="spellStart"/>
                            <w:r>
                              <w:t>Initiative</w:t>
                            </w:r>
                            <w:proofErr w:type="spellEnd"/>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03740A5A" id="_x0000_t202" coordsize="21600,21600" o:spt="202" path="m,l,21600r21600,l21600,xe">
                <v:stroke joinstyle="miter"/>
                <v:path gradientshapeok="t" o:connecttype="rect"/>
              </v:shapetype>
              <v:shape id="Text Box 2" o:spid="_x0000_s1026" type="#_x0000_t202" style="position:absolute;left:0;text-align:left;margin-left:0;margin-top:254.35pt;width:250.05pt;height:.0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" stroked="f">
                <v:textbox style="mso-fit-shape-to-text:t" inset="0,0,0,0">
                  <w:txbxContent>
                    <w:p w:rsidR="00AB7498" w:rsidRPr="00D761C7" w:rsidRDefault="00AB7498" w:rsidP="00821923">
                      <w:pPr>
                        <w:pStyle w:val="Caption"/>
                        <w:rPr>
                          <w:noProof/>
                          <w:sz w:val="24"/>
                        </w:rPr>
                      </w:pPr>
                      <w:r w:rsidRPr="00821923">
                        <w:rPr>
                          <w:lang w:val="en-US"/>
                        </w:rPr>
                        <w:t xml:space="preserve">Figure </w:t>
                      </w:r>
                      <w:r>
                        <w:fldChar w:fldCharType="begin"/>
                      </w:r>
                      <w:r w:rsidRPr="00821923">
                        <w:rPr>
                          <w:lang w:val="en-US"/>
                        </w:rPr>
                        <w:instrText xml:space="preserve"> SEQ Figure \* ARABIC </w:instrText>
                      </w:r>
                      <w:r>
                        <w:fldChar w:fldCharType="separate"/>
                      </w:r>
                      <w:r w:rsidR="00BA67B5">
                        <w:rPr>
                          <w:noProof/>
                          <w:lang w:val="en-US"/>
                        </w:rPr>
                        <w:t>1</w:t>
                      </w:r>
                      <w:r>
                        <w:fldChar w:fldCharType="end"/>
                      </w:r>
                      <w:r w:rsidRPr="00821923">
                        <w:rPr>
                          <w:lang w:val="en-US"/>
                        </w:rPr>
                        <w:t xml:space="preserve">. KNM-ER 1813 in Three-Quarter Profile. </w:t>
                      </w:r>
                      <w:proofErr w:type="spellStart"/>
                      <w:r>
                        <w:t>Image</w:t>
                      </w:r>
                      <w:proofErr w:type="spellEnd"/>
                      <w:r>
                        <w:t xml:space="preserve"> </w:t>
                      </w:r>
                      <w:proofErr w:type="spellStart"/>
                      <w:r>
                        <w:t>from</w:t>
                      </w:r>
                      <w:proofErr w:type="spellEnd"/>
                      <w:r>
                        <w:t xml:space="preserve"> </w:t>
                      </w:r>
                      <w:proofErr w:type="spellStart"/>
                      <w:r>
                        <w:t>Smithsonian</w:t>
                      </w:r>
                      <w:proofErr w:type="spellEnd"/>
                      <w:r>
                        <w:t xml:space="preserve"> </w:t>
                      </w:r>
                      <w:proofErr w:type="spellStart"/>
                      <w:r>
                        <w:t>Institute</w:t>
                      </w:r>
                      <w:proofErr w:type="spellEnd"/>
                      <w:r>
                        <w:t xml:space="preserve"> Human </w:t>
                      </w:r>
                      <w:proofErr w:type="spellStart"/>
                      <w:r>
                        <w:t>Origins</w:t>
                      </w:r>
                      <w:proofErr w:type="spellEnd"/>
                      <w:r>
                        <w:t xml:space="preserve"> </w:t>
                      </w:r>
                      <w:proofErr w:type="spellStart"/>
                      <w:r>
                        <w:t>Initiative</w:t>
                      </w:r>
                      <w:proofErr w:type="spellEnd"/>
                    </w:p>
                  </w:txbxContent>
                </v:textbox>
                <w10:wrap type="square"/>
              </v:shape>
            </w:pict>
          </mc:Fallback>
        </mc:AlternateContent>
      </w:r>
      <w:r>
        <w:rPr>
          <w:noProof/>
          <w:lang w:val="en-US"/>
        </w:rPr>
        <w:drawing>
          <wp:anchor distT="0" distB="0" distL="114300" distR="114300" simplePos="0" relativeHeight="251658240" behindDoc="0" locked="0" layoutInCell="1" allowOverlap="1">
            <wp:simplePos x="0" y="0"/>
            <wp:positionH relativeFrom="column">
              <wp:posOffset>0</wp:posOffset>
            </wp:positionH>
            <wp:positionV relativeFrom="paragraph">
              <wp:posOffset>-2609</wp:posOffset>
            </wp:positionV>
            <wp:extent cx="3175686" cy="3175686"/>
            <wp:effectExtent l="0" t="0" r="5715" b="5715"/>
            <wp:wrapSquare wrapText="bothSides"/>
            <wp:docPr id="1" name="Picture 1" descr="http://humanorigins.si.edu/sites/default/files/styles/full_width/public/images/square/habilis_KNMER1813_skull_CC_lt_3qtr_sq.jpg?itok=qH9H9y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humanorigins.si.edu/sites/default/files/styles/full_width/public/images/square/habilis_KNMER1813_skull_CC_lt_3qtr_sq.jpg?itok=qH9H9yTh"/>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175686" cy="3175686"/>
                    </a:xfrm>
                    <a:prstGeom prst="rect">
                      <a:avLst/>
                    </a:prstGeom>
                    <a:noFill/>
                    <a:ln>
                      <a:noFill/>
                    </a:ln>
                  </pic:spPr>
                </pic:pic>
              </a:graphicData>
            </a:graphic>
          </wp:anchor>
        </w:drawing>
      </w:r>
      <w:r w:rsidR="005C38CF">
        <w:rPr>
          <w:lang w:val="en-US"/>
        </w:rPr>
        <w:t xml:space="preserve">Koobi Fora </w:t>
      </w:r>
      <w:r w:rsidR="00681333">
        <w:rPr>
          <w:lang w:val="en-US"/>
        </w:rPr>
        <w:t>is a field site to the east of Lake</w:t>
      </w:r>
      <w:r w:rsidR="006556A0">
        <w:rPr>
          <w:lang w:val="en-US"/>
        </w:rPr>
        <w:t xml:space="preserve"> Turkana, formerly Lake Rudolf, and the territory is divided into different “areas” or dig sites of approximately the same age</w:t>
      </w:r>
      <w:r w:rsidR="006556A0" w:rsidRPr="006556A0">
        <w:rPr>
          <w:lang w:val="en-US"/>
        </w:rPr>
        <w:t xml:space="preserve"> </w:t>
      </w:r>
      <w:sdt>
        <w:sdtPr>
          <w:rPr>
            <w:lang w:val="en-US"/>
          </w:rPr>
          <w:id w:val="820312950"/>
          <w:citation/>
        </w:sdtPr>
        <w:sdtEndPr/>
        <w:sdtContent>
          <w:r w:rsidR="006556A0">
            <w:rPr>
              <w:lang w:val="en-US"/>
            </w:rPr>
            <w:fldChar w:fldCharType="begin"/>
          </w:r>
          <w:r w:rsidR="006556A0">
            <w:rPr>
              <w:lang w:val="en-US"/>
            </w:rPr>
            <w:instrText xml:space="preserve"> CITATION Day77 \l 1033 </w:instrText>
          </w:r>
          <w:r w:rsidR="006556A0">
            <w:rPr>
              <w:lang w:val="en-US"/>
            </w:rPr>
            <w:fldChar w:fldCharType="separate"/>
          </w:r>
          <w:r w:rsidR="001741D2" w:rsidRPr="001741D2">
            <w:rPr>
              <w:noProof/>
              <w:lang w:val="en-US"/>
            </w:rPr>
            <w:t>(Day, 1977)</w:t>
          </w:r>
          <w:r w:rsidR="006556A0">
            <w:rPr>
              <w:lang w:val="en-US"/>
            </w:rPr>
            <w:fldChar w:fldCharType="end"/>
          </w:r>
        </w:sdtContent>
      </w:sdt>
      <w:r w:rsidR="006556A0">
        <w:rPr>
          <w:lang w:val="en-US"/>
        </w:rPr>
        <w:t xml:space="preserve">. </w:t>
      </w:r>
      <w:r w:rsidR="00681333">
        <w:rPr>
          <w:lang w:val="en-US"/>
        </w:rPr>
        <w:t>KNM-ER 1813 was found, for instance, in Area 123, further away fro</w:t>
      </w:r>
      <w:r w:rsidR="00704DCA">
        <w:rPr>
          <w:lang w:val="en-US"/>
        </w:rPr>
        <w:t>m the lake</w:t>
      </w:r>
      <w:r w:rsidR="006556A0">
        <w:rPr>
          <w:lang w:val="en-US"/>
        </w:rPr>
        <w:t xml:space="preserve"> </w:t>
      </w:r>
      <w:sdt>
        <w:sdtPr>
          <w:rPr>
            <w:lang w:val="en-US"/>
          </w:rPr>
          <w:id w:val="-1028414080"/>
          <w:citation/>
        </w:sdtPr>
        <w:sdtEndPr/>
        <w:sdtContent>
          <w:r w:rsidR="006556A0">
            <w:rPr>
              <w:lang w:val="en-US"/>
            </w:rPr>
            <w:fldChar w:fldCharType="begin"/>
          </w:r>
          <w:r w:rsidR="006556A0">
            <w:rPr>
              <w:lang w:val="en-US"/>
            </w:rPr>
            <w:instrText xml:space="preserve">CITATION Lea74 \t  \l 1033 </w:instrText>
          </w:r>
          <w:r w:rsidR="006556A0">
            <w:rPr>
              <w:lang w:val="en-US"/>
            </w:rPr>
            <w:fldChar w:fldCharType="separate"/>
          </w:r>
          <w:r w:rsidR="001741D2" w:rsidRPr="001741D2">
            <w:rPr>
              <w:noProof/>
              <w:lang w:val="en-US"/>
            </w:rPr>
            <w:t>(Leakey R. , 1974)</w:t>
          </w:r>
          <w:r w:rsidR="006556A0">
            <w:rPr>
              <w:lang w:val="en-US"/>
            </w:rPr>
            <w:fldChar w:fldCharType="end"/>
          </w:r>
        </w:sdtContent>
      </w:sdt>
      <w:r w:rsidR="00704DCA">
        <w:rPr>
          <w:lang w:val="en-US"/>
        </w:rPr>
        <w:t>.</w:t>
      </w:r>
      <w:r w:rsidR="006556A0">
        <w:rPr>
          <w:lang w:val="en-US"/>
        </w:rPr>
        <w:t xml:space="preserve"> </w:t>
      </w:r>
      <w:r w:rsidR="00704DCA">
        <w:rPr>
          <w:lang w:val="en-US"/>
        </w:rPr>
        <w:t xml:space="preserve"> The stratigraphy largely consists of sediment beds overlapped with volcanic tuffs</w:t>
      </w:r>
      <w:r w:rsidR="00B64454">
        <w:rPr>
          <w:lang w:val="en-US"/>
        </w:rPr>
        <w:t xml:space="preserve">, though uneven sedimentation has caused some difficulty in dating in the past </w:t>
      </w:r>
      <w:sdt>
        <w:sdtPr>
          <w:rPr>
            <w:lang w:val="en-US"/>
          </w:rPr>
          <w:id w:val="-40063205"/>
          <w:citation/>
        </w:sdtPr>
        <w:sdtEndPr/>
        <w:sdtContent>
          <w:r w:rsidR="00B64454">
            <w:rPr>
              <w:lang w:val="en-US"/>
            </w:rPr>
            <w:fldChar w:fldCharType="begin"/>
          </w:r>
          <w:r w:rsidR="001741D2">
            <w:rPr>
              <w:lang w:val="en-US"/>
            </w:rPr>
            <w:instrText xml:space="preserve">CITATION Fei09 \l 1033 </w:instrText>
          </w:r>
          <w:r w:rsidR="00B64454">
            <w:rPr>
              <w:lang w:val="en-US"/>
            </w:rPr>
            <w:fldChar w:fldCharType="separate"/>
          </w:r>
          <w:r w:rsidR="001741D2" w:rsidRPr="001741D2">
            <w:rPr>
              <w:noProof/>
              <w:lang w:val="en-US"/>
            </w:rPr>
            <w:t>(Feibel, Lepre, &amp; Quinn, 2009)</w:t>
          </w:r>
          <w:r w:rsidR="00B64454">
            <w:rPr>
              <w:lang w:val="en-US"/>
            </w:rPr>
            <w:fldChar w:fldCharType="end"/>
          </w:r>
        </w:sdtContent>
      </w:sdt>
      <w:r w:rsidR="00B64454">
        <w:rPr>
          <w:lang w:val="en-US"/>
        </w:rPr>
        <w:t>.</w:t>
      </w:r>
      <w:r w:rsidR="00BA67B5">
        <w:rPr>
          <w:lang w:val="en-US"/>
        </w:rPr>
        <w:t xml:space="preserve"> </w:t>
      </w:r>
      <w:r w:rsidR="004975E1">
        <w:rPr>
          <w:lang w:val="en-US"/>
        </w:rPr>
        <w:t>The field season that led to the discoveries were carried out in</w:t>
      </w:r>
      <w:r w:rsidR="000B4303">
        <w:rPr>
          <w:lang w:val="en-US"/>
        </w:rPr>
        <w:t xml:space="preserve"> these</w:t>
      </w:r>
      <w:r w:rsidR="004975E1">
        <w:rPr>
          <w:lang w:val="en-US"/>
        </w:rPr>
        <w:t xml:space="preserve"> different regions of Koobi Fora. </w:t>
      </w:r>
      <w:r w:rsidR="000B4303">
        <w:rPr>
          <w:lang w:val="en-US"/>
        </w:rPr>
        <w:t>Area 123 also yielded</w:t>
      </w:r>
      <w:r w:rsidR="004975E1">
        <w:rPr>
          <w:lang w:val="en-US"/>
        </w:rPr>
        <w:t xml:space="preserve"> KNM-ER 1810, 1811, and 1812</w:t>
      </w:r>
      <w:r w:rsidR="000B4303">
        <w:rPr>
          <w:lang w:val="en-US"/>
        </w:rPr>
        <w:t xml:space="preserve">, though none were as complete </w:t>
      </w:r>
      <w:sdt>
        <w:sdtPr>
          <w:rPr>
            <w:lang w:val="en-US"/>
          </w:rPr>
          <w:id w:val="-910072104"/>
          <w:citation/>
        </w:sdtPr>
        <w:sdtEndPr/>
        <w:sdtContent>
          <w:r w:rsidR="000B4303">
            <w:rPr>
              <w:lang w:val="en-US"/>
            </w:rPr>
            <w:fldChar w:fldCharType="begin"/>
          </w:r>
          <w:r w:rsidR="00B64454">
            <w:rPr>
              <w:lang w:val="en-US"/>
            </w:rPr>
            <w:instrText xml:space="preserve">CITATION Lea74 \t  \l 1033 </w:instrText>
          </w:r>
          <w:r w:rsidR="000B4303">
            <w:rPr>
              <w:lang w:val="en-US"/>
            </w:rPr>
            <w:fldChar w:fldCharType="separate"/>
          </w:r>
          <w:r w:rsidR="001741D2" w:rsidRPr="001741D2">
            <w:rPr>
              <w:noProof/>
              <w:lang w:val="en-US"/>
            </w:rPr>
            <w:t>(Leakey R. , 1974)</w:t>
          </w:r>
          <w:r w:rsidR="000B4303">
            <w:rPr>
              <w:lang w:val="en-US"/>
            </w:rPr>
            <w:fldChar w:fldCharType="end"/>
          </w:r>
        </w:sdtContent>
      </w:sdt>
      <w:r w:rsidR="000B4303">
        <w:rPr>
          <w:lang w:val="en-US"/>
        </w:rPr>
        <w:t xml:space="preserve">. </w:t>
      </w:r>
    </w:p>
    <w:p w:rsidR="00821923" w:rsidRPr="00953BA2" w:rsidRDefault="00953BA2" w:rsidP="001741D2">
      <w:pPr>
        <w:spacing w:line="480" w:lineRule="auto"/>
        <w:rPr>
          <w:lang w:val="en-US"/>
        </w:rPr>
      </w:pPr>
      <w:r>
        <w:rPr>
          <w:b/>
          <w:lang w:val="en-US"/>
        </w:rPr>
        <w:tab/>
      </w:r>
      <w:r>
        <w:rPr>
          <w:lang w:val="en-US"/>
        </w:rPr>
        <w:t>There has been some debate about the age of the fossils found at Area 123. The announcement article gave an uncertain stratigraphic assignment and positioned the fossil in the Lower Member of the Koobi Fora Formation</w:t>
      </w:r>
      <w:r w:rsidR="00A905C0">
        <w:rPr>
          <w:lang w:val="en-US"/>
        </w:rPr>
        <w:t>, above the KBS tuff</w:t>
      </w:r>
      <w:r>
        <w:rPr>
          <w:lang w:val="en-US"/>
        </w:rPr>
        <w:t xml:space="preserve"> </w:t>
      </w:r>
      <w:sdt>
        <w:sdtPr>
          <w:rPr>
            <w:lang w:val="en-US"/>
          </w:rPr>
          <w:id w:val="67700086"/>
          <w:citation/>
        </w:sdtPr>
        <w:sdtEndPr/>
        <w:sdtContent>
          <w:r>
            <w:rPr>
              <w:lang w:val="en-US"/>
            </w:rPr>
            <w:fldChar w:fldCharType="begin"/>
          </w:r>
          <w:r>
            <w:rPr>
              <w:lang w:val="en-US"/>
            </w:rPr>
            <w:instrText xml:space="preserve">CITATION Lea74 \p 654 \t  \l 1033 </w:instrText>
          </w:r>
          <w:r>
            <w:rPr>
              <w:lang w:val="en-US"/>
            </w:rPr>
            <w:fldChar w:fldCharType="separate"/>
          </w:r>
          <w:r w:rsidR="001741D2" w:rsidRPr="001741D2">
            <w:rPr>
              <w:noProof/>
              <w:lang w:val="en-US"/>
            </w:rPr>
            <w:t>(Leakey R. , 1974, p. 654)</w:t>
          </w:r>
          <w:r>
            <w:rPr>
              <w:lang w:val="en-US"/>
            </w:rPr>
            <w:fldChar w:fldCharType="end"/>
          </w:r>
        </w:sdtContent>
      </w:sdt>
      <w:r w:rsidR="00A905C0">
        <w:rPr>
          <w:lang w:val="en-US"/>
        </w:rPr>
        <w:t xml:space="preserve">. A reanalysis of the stratigraphy later led </w:t>
      </w:r>
      <w:proofErr w:type="spellStart"/>
      <w:r w:rsidR="00A905C0">
        <w:rPr>
          <w:lang w:val="en-US"/>
        </w:rPr>
        <w:t>Gathogo</w:t>
      </w:r>
      <w:proofErr w:type="spellEnd"/>
      <w:r w:rsidR="00A905C0">
        <w:rPr>
          <w:lang w:val="en-US"/>
        </w:rPr>
        <w:t xml:space="preserve"> and Brown to believe that the fossils lie just on top of the KBS tuff, making them quite younger than initially thought </w:t>
      </w:r>
      <w:sdt>
        <w:sdtPr>
          <w:rPr>
            <w:lang w:val="en-US"/>
          </w:rPr>
          <w:id w:val="-2058620252"/>
          <w:citation/>
        </w:sdtPr>
        <w:sdtEndPr/>
        <w:sdtContent>
          <w:r w:rsidR="00A905C0">
            <w:rPr>
              <w:lang w:val="en-US"/>
            </w:rPr>
            <w:fldChar w:fldCharType="begin"/>
          </w:r>
          <w:r w:rsidR="00A905C0">
            <w:rPr>
              <w:lang w:val="en-US"/>
            </w:rPr>
            <w:instrText xml:space="preserve">CITATION Gat06 \n  \t  \l 1033 </w:instrText>
          </w:r>
          <w:r w:rsidR="00A905C0">
            <w:rPr>
              <w:lang w:val="en-US"/>
            </w:rPr>
            <w:fldChar w:fldCharType="separate"/>
          </w:r>
          <w:r w:rsidR="001741D2" w:rsidRPr="001741D2">
            <w:rPr>
              <w:noProof/>
              <w:lang w:val="en-US"/>
            </w:rPr>
            <w:t>(2006)</w:t>
          </w:r>
          <w:r w:rsidR="00A905C0">
            <w:rPr>
              <w:lang w:val="en-US"/>
            </w:rPr>
            <w:fldChar w:fldCharType="end"/>
          </w:r>
        </w:sdtContent>
      </w:sdt>
      <w:r w:rsidR="00A905C0">
        <w:rPr>
          <w:lang w:val="en-US"/>
        </w:rPr>
        <w:t>.</w:t>
      </w:r>
      <w:r w:rsidR="00C41465">
        <w:rPr>
          <w:lang w:val="en-US"/>
        </w:rPr>
        <w:t xml:space="preserve"> The principle obstacle was that across Area 123, there is not even sedimentation; entire layers are missing from this area </w:t>
      </w:r>
      <w:r w:rsidR="00273267">
        <w:rPr>
          <w:lang w:val="en-US"/>
        </w:rPr>
        <w:t xml:space="preserve">though </w:t>
      </w:r>
      <w:r w:rsidR="00C41465">
        <w:rPr>
          <w:lang w:val="en-US"/>
        </w:rPr>
        <w:t>they occur in nearby locales.</w:t>
      </w:r>
      <w:r w:rsidR="00A905C0">
        <w:rPr>
          <w:lang w:val="en-US"/>
        </w:rPr>
        <w:t xml:space="preserve"> </w:t>
      </w:r>
      <w:r w:rsidR="00C41465">
        <w:rPr>
          <w:lang w:val="en-US"/>
        </w:rPr>
        <w:t>But the reorganization of the stratigraphy</w:t>
      </w:r>
      <w:r w:rsidR="00A905C0">
        <w:rPr>
          <w:lang w:val="en-US"/>
        </w:rPr>
        <w:t xml:space="preserve"> would have significant consequences for KNM-ER 1813’s taxonomic classification, much of which revolved around its supposed contemporaneity with KNM-ER 1470. However, another revision was made, </w:t>
      </w:r>
      <w:r w:rsidR="00A905C0">
        <w:rPr>
          <w:lang w:val="en-US"/>
        </w:rPr>
        <w:lastRenderedPageBreak/>
        <w:t xml:space="preserve">and using </w:t>
      </w:r>
      <w:proofErr w:type="spellStart"/>
      <w:r w:rsidR="00A905C0">
        <w:rPr>
          <w:lang w:val="en-US"/>
        </w:rPr>
        <w:t>magnetostratigraphy</w:t>
      </w:r>
      <w:proofErr w:type="spellEnd"/>
      <w:r w:rsidR="00A905C0">
        <w:rPr>
          <w:lang w:val="en-US"/>
        </w:rPr>
        <w:t xml:space="preserve">, </w:t>
      </w:r>
      <w:proofErr w:type="spellStart"/>
      <w:r w:rsidR="00A905C0">
        <w:rPr>
          <w:lang w:val="en-US"/>
        </w:rPr>
        <w:t>Feibel</w:t>
      </w:r>
      <w:proofErr w:type="spellEnd"/>
      <w:r w:rsidR="00A905C0">
        <w:rPr>
          <w:lang w:val="en-US"/>
        </w:rPr>
        <w:t xml:space="preserve"> et al. were able to confirm the fossils were below the KBS tuff and were between 1.89 and 1.90 Ma </w:t>
      </w:r>
      <w:sdt>
        <w:sdtPr>
          <w:rPr>
            <w:lang w:val="en-US"/>
          </w:rPr>
          <w:id w:val="-1348482094"/>
          <w:citation/>
        </w:sdtPr>
        <w:sdtEndPr/>
        <w:sdtContent>
          <w:r w:rsidR="00A905C0">
            <w:rPr>
              <w:lang w:val="en-US"/>
            </w:rPr>
            <w:fldChar w:fldCharType="begin"/>
          </w:r>
          <w:r w:rsidR="001741D2">
            <w:rPr>
              <w:lang w:val="en-US"/>
            </w:rPr>
            <w:instrText xml:space="preserve">CITATION Fei09 \n  \t  \l 1033 </w:instrText>
          </w:r>
          <w:r w:rsidR="00A905C0">
            <w:rPr>
              <w:lang w:val="en-US"/>
            </w:rPr>
            <w:fldChar w:fldCharType="separate"/>
          </w:r>
          <w:r w:rsidR="001741D2" w:rsidRPr="001741D2">
            <w:rPr>
              <w:noProof/>
              <w:lang w:val="en-US"/>
            </w:rPr>
            <w:t>(2009)</w:t>
          </w:r>
          <w:r w:rsidR="00A905C0">
            <w:rPr>
              <w:lang w:val="en-US"/>
            </w:rPr>
            <w:fldChar w:fldCharType="end"/>
          </w:r>
        </w:sdtContent>
      </w:sdt>
      <w:r w:rsidR="00A905C0">
        <w:rPr>
          <w:lang w:val="en-US"/>
        </w:rPr>
        <w:t xml:space="preserve">. </w:t>
      </w:r>
      <w:r w:rsidR="00C41465">
        <w:rPr>
          <w:lang w:val="en-US"/>
        </w:rPr>
        <w:t>This closed the gap between KNM-ER 1813 and KNM-ER 1470, a significant find to be discussed below.</w:t>
      </w:r>
    </w:p>
    <w:p w:rsidR="008D1570" w:rsidRDefault="008D1570" w:rsidP="001741D2">
      <w:pPr>
        <w:spacing w:line="480" w:lineRule="auto"/>
        <w:rPr>
          <w:b/>
          <w:lang w:val="en-US"/>
        </w:rPr>
      </w:pPr>
      <w:r>
        <w:rPr>
          <w:b/>
          <w:lang w:val="en-US"/>
        </w:rPr>
        <w:t>Who and Why?</w:t>
      </w:r>
    </w:p>
    <w:p w:rsidR="00FA0234" w:rsidRDefault="00FA0234" w:rsidP="001741D2">
      <w:pPr>
        <w:spacing w:line="480" w:lineRule="auto"/>
        <w:rPr>
          <w:lang w:val="en-US"/>
        </w:rPr>
      </w:pPr>
      <w:r>
        <w:rPr>
          <w:i/>
          <w:lang w:val="en-US"/>
        </w:rPr>
        <w:t>Outside the Genus</w:t>
      </w:r>
      <w:r>
        <w:rPr>
          <w:lang w:val="en-US"/>
        </w:rPr>
        <w:t xml:space="preserve"> Homo</w:t>
      </w:r>
    </w:p>
    <w:p w:rsidR="007C739F" w:rsidRDefault="007C739F" w:rsidP="001741D2">
      <w:pPr>
        <w:spacing w:line="480" w:lineRule="auto"/>
        <w:rPr>
          <w:lang w:val="en-US"/>
        </w:rPr>
      </w:pPr>
      <w:r>
        <w:rPr>
          <w:lang w:val="en-US"/>
        </w:rPr>
        <w:tab/>
        <w:t xml:space="preserve">Since its announcement, KNM-ER 1813 has been a puzzle because of its small size. </w:t>
      </w:r>
      <w:r w:rsidR="00BA67B5">
        <w:rPr>
          <w:lang w:val="en-US"/>
        </w:rPr>
        <w:t xml:space="preserve">Despite some initial comparisons to </w:t>
      </w:r>
      <w:r w:rsidR="00BA67B5">
        <w:rPr>
          <w:i/>
          <w:lang w:val="en-US"/>
        </w:rPr>
        <w:t xml:space="preserve">A. </w:t>
      </w:r>
      <w:proofErr w:type="spellStart"/>
      <w:r w:rsidR="00BA67B5">
        <w:rPr>
          <w:i/>
          <w:lang w:val="en-US"/>
        </w:rPr>
        <w:t>africanus</w:t>
      </w:r>
      <w:proofErr w:type="spellEnd"/>
      <w:r w:rsidR="00BA67B5">
        <w:rPr>
          <w:lang w:val="en-US"/>
        </w:rPr>
        <w:t xml:space="preserve"> and remarks about shared primitive features, Richard Leakey decided to put the fossil in </w:t>
      </w:r>
      <w:r w:rsidR="00BA67B5">
        <w:rPr>
          <w:i/>
          <w:lang w:val="en-US"/>
        </w:rPr>
        <w:t>Homo</w:t>
      </w:r>
      <w:r>
        <w:rPr>
          <w:lang w:val="en-US"/>
        </w:rPr>
        <w:t xml:space="preserve"> </w:t>
      </w:r>
      <w:r w:rsidR="00BA67B5">
        <w:rPr>
          <w:noProof/>
          <w:lang w:val="en-US"/>
        </w:rPr>
        <w:t>(</w:t>
      </w:r>
      <w:r w:rsidR="00BA67B5" w:rsidRPr="001741D2">
        <w:rPr>
          <w:noProof/>
          <w:lang w:val="en-US"/>
        </w:rPr>
        <w:t>1974)</w:t>
      </w:r>
      <w:r>
        <w:rPr>
          <w:lang w:val="en-US"/>
        </w:rPr>
        <w:t xml:space="preserve">. </w:t>
      </w:r>
      <w:r w:rsidR="00BA67B5">
        <w:rPr>
          <w:lang w:val="en-US"/>
        </w:rPr>
        <w:t>B</w:t>
      </w:r>
      <w:r>
        <w:rPr>
          <w:lang w:val="en-US"/>
        </w:rPr>
        <w:t xml:space="preserve">efore delving into the controversy surrounding KNM-ER 1813’s particular assignment in </w:t>
      </w:r>
      <w:r>
        <w:rPr>
          <w:i/>
          <w:lang w:val="en-US"/>
        </w:rPr>
        <w:t>Homo</w:t>
      </w:r>
      <w:r>
        <w:rPr>
          <w:lang w:val="en-US"/>
        </w:rPr>
        <w:t xml:space="preserve">, it is important to discuss the nature of early </w:t>
      </w:r>
      <w:r>
        <w:rPr>
          <w:i/>
          <w:lang w:val="en-US"/>
        </w:rPr>
        <w:t>Homo</w:t>
      </w:r>
      <w:r w:rsidR="00BA67B5">
        <w:rPr>
          <w:lang w:val="en-US"/>
        </w:rPr>
        <w:t xml:space="preserve"> in general. Those comparisons to </w:t>
      </w:r>
      <w:r w:rsidR="00BA67B5">
        <w:rPr>
          <w:i/>
          <w:lang w:val="en-US"/>
        </w:rPr>
        <w:t xml:space="preserve">A. </w:t>
      </w:r>
      <w:proofErr w:type="spellStart"/>
      <w:r w:rsidR="00BA67B5">
        <w:rPr>
          <w:i/>
          <w:lang w:val="en-US"/>
        </w:rPr>
        <w:t>africanus</w:t>
      </w:r>
      <w:proofErr w:type="spellEnd"/>
      <w:r>
        <w:rPr>
          <w:lang w:val="en-US"/>
        </w:rPr>
        <w:t xml:space="preserve"> </w:t>
      </w:r>
      <w:r w:rsidR="002E0C32">
        <w:rPr>
          <w:lang w:val="en-US"/>
        </w:rPr>
        <w:t xml:space="preserve">should be telling about the dubious nature of the older </w:t>
      </w:r>
      <w:r w:rsidR="002E0C32">
        <w:rPr>
          <w:i/>
          <w:lang w:val="en-US"/>
        </w:rPr>
        <w:t>Homo</w:t>
      </w:r>
      <w:r w:rsidR="00D825F8">
        <w:rPr>
          <w:lang w:val="en-US"/>
        </w:rPr>
        <w:t xml:space="preserve"> specimens and their genus placement.</w:t>
      </w:r>
    </w:p>
    <w:p w:rsidR="002E0C32" w:rsidRDefault="002E0C32" w:rsidP="001741D2">
      <w:pPr>
        <w:spacing w:line="480" w:lineRule="auto"/>
        <w:rPr>
          <w:lang w:val="en-US"/>
        </w:rPr>
      </w:pPr>
      <w:r>
        <w:rPr>
          <w:lang w:val="en-US"/>
        </w:rPr>
        <w:tab/>
        <w:t xml:space="preserve">Before 1964, the oldest specimen attributed to </w:t>
      </w:r>
      <w:r>
        <w:rPr>
          <w:i/>
          <w:lang w:val="en-US"/>
        </w:rPr>
        <w:t>Homo</w:t>
      </w:r>
      <w:r>
        <w:rPr>
          <w:lang w:val="en-US"/>
        </w:rPr>
        <w:t xml:space="preserve"> was that of </w:t>
      </w:r>
      <w:r>
        <w:rPr>
          <w:i/>
          <w:lang w:val="en-US"/>
        </w:rPr>
        <w:t>erectus</w:t>
      </w:r>
      <w:r w:rsidR="00B43EC1">
        <w:rPr>
          <w:lang w:val="en-US"/>
        </w:rPr>
        <w:t xml:space="preserve">, which did not have old enough specimens to reach back 1.5 million years </w:t>
      </w:r>
      <w:sdt>
        <w:sdtPr>
          <w:rPr>
            <w:lang w:val="en-US"/>
          </w:rPr>
          <w:id w:val="1468386976"/>
          <w:citation/>
        </w:sdtPr>
        <w:sdtEndPr/>
        <w:sdtContent>
          <w:r w:rsidR="00B43EC1">
            <w:rPr>
              <w:lang w:val="en-US"/>
            </w:rPr>
            <w:fldChar w:fldCharType="begin"/>
          </w:r>
          <w:r w:rsidR="00B43EC1">
            <w:rPr>
              <w:lang w:val="en-US"/>
            </w:rPr>
            <w:instrText xml:space="preserve"> CITATION Lew87 \l 1033 </w:instrText>
          </w:r>
          <w:r w:rsidR="00B43EC1">
            <w:rPr>
              <w:lang w:val="en-US"/>
            </w:rPr>
            <w:fldChar w:fldCharType="separate"/>
          </w:r>
          <w:r w:rsidR="001741D2" w:rsidRPr="001741D2">
            <w:rPr>
              <w:noProof/>
              <w:lang w:val="en-US"/>
            </w:rPr>
            <w:t>(Lewin, 1987)</w:t>
          </w:r>
          <w:r w:rsidR="00B43EC1">
            <w:rPr>
              <w:lang w:val="en-US"/>
            </w:rPr>
            <w:fldChar w:fldCharType="end"/>
          </w:r>
        </w:sdtContent>
      </w:sdt>
      <w:r w:rsidR="00B43EC1">
        <w:rPr>
          <w:lang w:val="en-US"/>
        </w:rPr>
        <w:t xml:space="preserve">. That year, however, an older fossil </w:t>
      </w:r>
      <w:r w:rsidR="00273267">
        <w:rPr>
          <w:lang w:val="en-US"/>
        </w:rPr>
        <w:t xml:space="preserve">found in Olduvai Gorge </w:t>
      </w:r>
      <w:r w:rsidR="00B43EC1">
        <w:rPr>
          <w:lang w:val="en-US"/>
        </w:rPr>
        <w:t xml:space="preserve">was announced and proclaimed the type specimen of a new species, </w:t>
      </w:r>
      <w:r w:rsidR="00B43EC1">
        <w:rPr>
          <w:i/>
          <w:lang w:val="en-US"/>
        </w:rPr>
        <w:t>Homo habilis</w:t>
      </w:r>
      <w:r w:rsidR="00D825F8">
        <w:rPr>
          <w:lang w:val="en-US"/>
        </w:rPr>
        <w:t xml:space="preserve"> </w:t>
      </w:r>
      <w:sdt>
        <w:sdtPr>
          <w:rPr>
            <w:lang w:val="en-US"/>
          </w:rPr>
          <w:id w:val="-1119520589"/>
          <w:citation/>
        </w:sdtPr>
        <w:sdtEndPr/>
        <w:sdtContent>
          <w:r w:rsidR="00D825F8">
            <w:rPr>
              <w:lang w:val="en-US"/>
            </w:rPr>
            <w:fldChar w:fldCharType="begin"/>
          </w:r>
          <w:r w:rsidR="00D825F8">
            <w:rPr>
              <w:lang w:val="en-US"/>
            </w:rPr>
            <w:instrText xml:space="preserve"> CITATION Lea64 \l 1033 </w:instrText>
          </w:r>
          <w:r w:rsidR="00D825F8">
            <w:rPr>
              <w:lang w:val="en-US"/>
            </w:rPr>
            <w:fldChar w:fldCharType="separate"/>
          </w:r>
          <w:r w:rsidR="001741D2" w:rsidRPr="001741D2">
            <w:rPr>
              <w:noProof/>
              <w:lang w:val="en-US"/>
            </w:rPr>
            <w:t>(Leakey, Tobias, &amp; Napier, 1964)</w:t>
          </w:r>
          <w:r w:rsidR="00D825F8">
            <w:rPr>
              <w:lang w:val="en-US"/>
            </w:rPr>
            <w:fldChar w:fldCharType="end"/>
          </w:r>
        </w:sdtContent>
      </w:sdt>
      <w:r w:rsidR="00D825F8">
        <w:rPr>
          <w:lang w:val="en-US"/>
        </w:rPr>
        <w:t>.</w:t>
      </w:r>
      <w:r w:rsidR="00273267">
        <w:rPr>
          <w:lang w:val="en-US"/>
        </w:rPr>
        <w:t xml:space="preserve"> The name means “handy man” as the authors thought they had discovered the true craftsmen of the Oldowan tools; </w:t>
      </w:r>
      <w:r w:rsidR="00273267">
        <w:rPr>
          <w:i/>
          <w:lang w:val="en-US"/>
        </w:rPr>
        <w:t>Homo</w:t>
      </w:r>
      <w:r w:rsidR="00273267">
        <w:rPr>
          <w:lang w:val="en-US"/>
        </w:rPr>
        <w:t xml:space="preserve"> would be the tool maker</w:t>
      </w:r>
      <w:r w:rsidR="00D825F8">
        <w:rPr>
          <w:lang w:val="en-US"/>
        </w:rPr>
        <w:t xml:space="preserve"> </w:t>
      </w:r>
      <w:r w:rsidR="00273267">
        <w:rPr>
          <w:lang w:val="en-US"/>
        </w:rPr>
        <w:t xml:space="preserve">instead of </w:t>
      </w:r>
      <w:proofErr w:type="spellStart"/>
      <w:r w:rsidR="00273267">
        <w:rPr>
          <w:i/>
          <w:lang w:val="en-US"/>
        </w:rPr>
        <w:t>Paranthropus</w:t>
      </w:r>
      <w:proofErr w:type="spellEnd"/>
      <w:r w:rsidR="00273267">
        <w:rPr>
          <w:lang w:val="en-US"/>
        </w:rPr>
        <w:t>, the robust Australopithecine contemporary.</w:t>
      </w:r>
      <w:r w:rsidR="00273267">
        <w:rPr>
          <w:i/>
          <w:lang w:val="en-US"/>
        </w:rPr>
        <w:t xml:space="preserve"> </w:t>
      </w:r>
      <w:r w:rsidR="00D825F8" w:rsidRPr="00273267">
        <w:rPr>
          <w:lang w:val="en-US"/>
        </w:rPr>
        <w:t>At</w:t>
      </w:r>
      <w:r w:rsidR="00D825F8">
        <w:rPr>
          <w:lang w:val="en-US"/>
        </w:rPr>
        <w:t xml:space="preserve"> the time, </w:t>
      </w:r>
      <w:r w:rsidR="00273267">
        <w:rPr>
          <w:lang w:val="en-US"/>
        </w:rPr>
        <w:t>the announcement</w:t>
      </w:r>
      <w:r w:rsidR="00D825F8">
        <w:rPr>
          <w:lang w:val="en-US"/>
        </w:rPr>
        <w:t xml:space="preserve"> dropped the cranial capacity threshold characteristic of the </w:t>
      </w:r>
      <w:r w:rsidR="00D825F8">
        <w:rPr>
          <w:i/>
          <w:lang w:val="en-US"/>
        </w:rPr>
        <w:t>Homo</w:t>
      </w:r>
      <w:r w:rsidR="00D825F8">
        <w:rPr>
          <w:lang w:val="en-US"/>
        </w:rPr>
        <w:t xml:space="preserve"> lineage from 750cc down to approximately 600cc and made early man surprisingly ape-like </w:t>
      </w:r>
      <w:r w:rsidR="00273267">
        <w:rPr>
          <w:noProof/>
          <w:lang w:val="en-US"/>
        </w:rPr>
        <w:t xml:space="preserve">(Leakey, Tobias, &amp; Napier, 1964; </w:t>
      </w:r>
      <w:r w:rsidR="00273267" w:rsidRPr="001741D2">
        <w:rPr>
          <w:noProof/>
          <w:lang w:val="en-US"/>
        </w:rPr>
        <w:t>Lewin, 1987)</w:t>
      </w:r>
      <w:r w:rsidR="00D825F8">
        <w:rPr>
          <w:lang w:val="en-US"/>
        </w:rPr>
        <w:t xml:space="preserve">. </w:t>
      </w:r>
      <w:r w:rsidR="00273267">
        <w:rPr>
          <w:lang w:val="en-US"/>
        </w:rPr>
        <w:t xml:space="preserve">The principle argument is that these specimens originally attributed to some form of early </w:t>
      </w:r>
      <w:r w:rsidR="00273267">
        <w:rPr>
          <w:i/>
          <w:lang w:val="en-US"/>
        </w:rPr>
        <w:t>Homo</w:t>
      </w:r>
      <w:r w:rsidR="00273267">
        <w:rPr>
          <w:lang w:val="en-US"/>
        </w:rPr>
        <w:t xml:space="preserve"> should instead be relegated to </w:t>
      </w:r>
      <w:r w:rsidR="00273267">
        <w:rPr>
          <w:i/>
          <w:lang w:val="en-US"/>
        </w:rPr>
        <w:t>Australopithecus</w:t>
      </w:r>
      <w:r w:rsidR="00C277F8">
        <w:rPr>
          <w:lang w:val="en-US"/>
        </w:rPr>
        <w:t xml:space="preserve">, and this argument is largely based on a </w:t>
      </w:r>
      <w:r w:rsidR="00C277F8">
        <w:rPr>
          <w:i/>
          <w:lang w:val="en-US"/>
        </w:rPr>
        <w:t>gradistic</w:t>
      </w:r>
      <w:r w:rsidR="00C277F8">
        <w:rPr>
          <w:lang w:val="en-US"/>
        </w:rPr>
        <w:t xml:space="preserve"> classification system instead of a </w:t>
      </w:r>
      <w:r w:rsidR="00C277F8">
        <w:rPr>
          <w:i/>
          <w:lang w:val="en-US"/>
        </w:rPr>
        <w:t>cladistic</w:t>
      </w:r>
      <w:r w:rsidR="00C277F8">
        <w:rPr>
          <w:lang w:val="en-US"/>
        </w:rPr>
        <w:t xml:space="preserve"> one</w:t>
      </w:r>
      <w:r w:rsidR="00D825F8">
        <w:rPr>
          <w:lang w:val="en-US"/>
        </w:rPr>
        <w:t xml:space="preserve"> </w:t>
      </w:r>
      <w:r w:rsidR="00273267">
        <w:rPr>
          <w:noProof/>
          <w:lang w:val="en-US"/>
        </w:rPr>
        <w:t xml:space="preserve">(Walker, 1976; Wood, 1992; </w:t>
      </w:r>
      <w:r w:rsidR="00273267" w:rsidRPr="001741D2">
        <w:rPr>
          <w:noProof/>
          <w:lang w:val="en-US"/>
        </w:rPr>
        <w:t>Wood, 2016)</w:t>
      </w:r>
      <w:r w:rsidR="00C277F8">
        <w:rPr>
          <w:lang w:val="en-US"/>
        </w:rPr>
        <w:t xml:space="preserve">. When </w:t>
      </w:r>
      <w:r w:rsidR="00C277F8">
        <w:rPr>
          <w:i/>
          <w:lang w:val="en-US"/>
        </w:rPr>
        <w:t>H. habilis</w:t>
      </w:r>
      <w:r w:rsidR="00C277F8">
        <w:rPr>
          <w:lang w:val="en-US"/>
        </w:rPr>
        <w:t xml:space="preserve"> was announced, it was thought to be the ancestral species </w:t>
      </w:r>
      <w:r w:rsidR="00793374">
        <w:rPr>
          <w:lang w:val="en-US"/>
        </w:rPr>
        <w:t xml:space="preserve">to </w:t>
      </w:r>
      <w:r w:rsidR="00793374">
        <w:rPr>
          <w:lang w:val="en-US"/>
        </w:rPr>
        <w:lastRenderedPageBreak/>
        <w:t xml:space="preserve">a group of taxa that would include modern man and as the root of the clade should be included in </w:t>
      </w:r>
      <w:r w:rsidR="00793374">
        <w:rPr>
          <w:i/>
          <w:lang w:val="en-US"/>
        </w:rPr>
        <w:t>Homo</w:t>
      </w:r>
      <w:r w:rsidR="00793374">
        <w:rPr>
          <w:lang w:val="en-US"/>
        </w:rPr>
        <w:t xml:space="preserve">. However, others have argued a gradistic classification is more appropriate, equating the word </w:t>
      </w:r>
      <w:r w:rsidR="00793374">
        <w:rPr>
          <w:i/>
          <w:lang w:val="en-US"/>
        </w:rPr>
        <w:t>grade</w:t>
      </w:r>
      <w:r w:rsidR="00793374">
        <w:rPr>
          <w:lang w:val="en-US"/>
        </w:rPr>
        <w:t xml:space="preserve"> with </w:t>
      </w:r>
      <w:r w:rsidR="00793374">
        <w:rPr>
          <w:i/>
          <w:lang w:val="en-US"/>
        </w:rPr>
        <w:t>genus</w:t>
      </w:r>
      <w:r w:rsidR="00793374">
        <w:rPr>
          <w:lang w:val="en-US"/>
        </w:rPr>
        <w:t xml:space="preserve">, and letting the primitive </w:t>
      </w:r>
      <w:r w:rsidR="00BA67B5">
        <w:rPr>
          <w:i/>
          <w:lang w:val="en-US"/>
        </w:rPr>
        <w:t>Homo</w:t>
      </w:r>
      <w:r w:rsidR="00793374">
        <w:rPr>
          <w:i/>
          <w:lang w:val="en-US"/>
        </w:rPr>
        <w:t xml:space="preserve"> habilis </w:t>
      </w:r>
      <w:proofErr w:type="spellStart"/>
      <w:r w:rsidR="00793374">
        <w:rPr>
          <w:i/>
          <w:lang w:val="en-US"/>
        </w:rPr>
        <w:t>sensu</w:t>
      </w:r>
      <w:proofErr w:type="spellEnd"/>
      <w:r w:rsidR="00793374">
        <w:rPr>
          <w:i/>
          <w:lang w:val="en-US"/>
        </w:rPr>
        <w:t xml:space="preserve"> </w:t>
      </w:r>
      <w:proofErr w:type="spellStart"/>
      <w:r w:rsidR="00793374">
        <w:rPr>
          <w:i/>
          <w:lang w:val="en-US"/>
        </w:rPr>
        <w:t>lato</w:t>
      </w:r>
      <w:proofErr w:type="spellEnd"/>
      <w:r w:rsidR="00793374">
        <w:rPr>
          <w:lang w:val="en-US"/>
        </w:rPr>
        <w:t xml:space="preserve"> change to </w:t>
      </w:r>
      <w:r w:rsidR="00793374">
        <w:rPr>
          <w:i/>
          <w:lang w:val="en-US"/>
        </w:rPr>
        <w:t xml:space="preserve">Australopithecus habilis </w:t>
      </w:r>
      <w:proofErr w:type="spellStart"/>
      <w:r w:rsidR="00793374">
        <w:rPr>
          <w:i/>
          <w:lang w:val="en-US"/>
        </w:rPr>
        <w:t>sensu</w:t>
      </w:r>
      <w:proofErr w:type="spellEnd"/>
      <w:r w:rsidR="00793374">
        <w:rPr>
          <w:i/>
          <w:lang w:val="en-US"/>
        </w:rPr>
        <w:t xml:space="preserve"> </w:t>
      </w:r>
      <w:proofErr w:type="spellStart"/>
      <w:r w:rsidR="00793374">
        <w:rPr>
          <w:i/>
          <w:lang w:val="en-US"/>
        </w:rPr>
        <w:t>lato</w:t>
      </w:r>
      <w:proofErr w:type="spellEnd"/>
      <w:r w:rsidR="00793374">
        <w:rPr>
          <w:lang w:val="en-US"/>
        </w:rPr>
        <w:t xml:space="preserve"> </w:t>
      </w:r>
      <w:r w:rsidR="00273267">
        <w:rPr>
          <w:noProof/>
          <w:lang w:val="en-US"/>
        </w:rPr>
        <w:t xml:space="preserve">(Walker, 1976; </w:t>
      </w:r>
      <w:r w:rsidR="00273267" w:rsidRPr="00273267">
        <w:rPr>
          <w:noProof/>
          <w:lang w:val="en-US"/>
        </w:rPr>
        <w:t>Wood, 2016)</w:t>
      </w:r>
      <w:r w:rsidR="00793374">
        <w:rPr>
          <w:lang w:val="en-US"/>
        </w:rPr>
        <w:t xml:space="preserve">. For example, OH 62 or “Lucy’s child” was found in 1986 and was attributed to </w:t>
      </w:r>
      <w:r w:rsidR="00793374">
        <w:rPr>
          <w:i/>
          <w:lang w:val="en-US"/>
        </w:rPr>
        <w:t>H. habilis</w:t>
      </w:r>
      <w:r w:rsidR="00273267">
        <w:rPr>
          <w:lang w:val="en-US"/>
        </w:rPr>
        <w:t xml:space="preserve">, but </w:t>
      </w:r>
      <w:r w:rsidR="00793374">
        <w:rPr>
          <w:lang w:val="en-US"/>
        </w:rPr>
        <w:t>analyses of its post-cranial remains suggest that it was engaging in both arboreal and terrestrial locomotion</w:t>
      </w:r>
      <w:r w:rsidR="00546A83">
        <w:rPr>
          <w:lang w:val="en-US"/>
        </w:rPr>
        <w:t xml:space="preserve">. </w:t>
      </w:r>
      <w:r w:rsidR="00BA67B5">
        <w:rPr>
          <w:noProof/>
          <w:lang w:val="en-US"/>
        </w:rPr>
        <w:t xml:space="preserve">(Johanson, et al., 1987; Lewin, 1987; </w:t>
      </w:r>
      <w:r w:rsidR="00273267" w:rsidRPr="001741D2">
        <w:rPr>
          <w:noProof/>
          <w:lang w:val="en-US"/>
        </w:rPr>
        <w:t>Antón, 2012)</w:t>
      </w:r>
      <w:r w:rsidR="00793374">
        <w:rPr>
          <w:lang w:val="en-US"/>
        </w:rPr>
        <w:t>.</w:t>
      </w:r>
      <w:r w:rsidR="00546A83" w:rsidRPr="00546A83">
        <w:rPr>
          <w:lang w:val="en-US"/>
        </w:rPr>
        <w:t xml:space="preserve"> </w:t>
      </w:r>
      <w:r w:rsidR="00546A83">
        <w:rPr>
          <w:lang w:val="en-US"/>
        </w:rPr>
        <w:t>The absence of obligate bipedalism constitutes the occupation of a different adaptive zone, or grade, and thereby genus.</w:t>
      </w:r>
    </w:p>
    <w:p w:rsidR="00FA0234" w:rsidRPr="00FA0234" w:rsidRDefault="00E96133" w:rsidP="001741D2">
      <w:pPr>
        <w:spacing w:line="480" w:lineRule="auto"/>
        <w:rPr>
          <w:lang w:val="en-US"/>
        </w:rPr>
      </w:pPr>
      <w:r>
        <w:rPr>
          <w:lang w:val="en-US"/>
        </w:rPr>
        <w:tab/>
        <w:t xml:space="preserve">Following these arguments, it remains plausible that KNM-ER 1813 could be part of </w:t>
      </w:r>
      <w:r>
        <w:rPr>
          <w:i/>
          <w:lang w:val="en-US"/>
        </w:rPr>
        <w:t>Australopithecus</w:t>
      </w:r>
      <w:r>
        <w:rPr>
          <w:lang w:val="en-US"/>
        </w:rPr>
        <w:t xml:space="preserve"> rather than </w:t>
      </w:r>
      <w:r>
        <w:rPr>
          <w:i/>
          <w:lang w:val="en-US"/>
        </w:rPr>
        <w:t>Homo</w:t>
      </w:r>
      <w:r>
        <w:rPr>
          <w:lang w:val="en-US"/>
        </w:rPr>
        <w:t xml:space="preserve">. However, these gradistic arguments have still not gained much popularity, despite the fact the issues raised against the early </w:t>
      </w:r>
      <w:r>
        <w:rPr>
          <w:i/>
          <w:lang w:val="en-US"/>
        </w:rPr>
        <w:t>Homo</w:t>
      </w:r>
      <w:r>
        <w:rPr>
          <w:lang w:val="en-US"/>
        </w:rPr>
        <w:t xml:space="preserve"> designation have persisted for at least 40 years now. The following discussion on KNM-ER 1813’s species placement will therefore continue to use the genus </w:t>
      </w:r>
      <w:r>
        <w:rPr>
          <w:i/>
          <w:lang w:val="en-US"/>
        </w:rPr>
        <w:t>Homo</w:t>
      </w:r>
      <w:r>
        <w:rPr>
          <w:lang w:val="en-US"/>
        </w:rPr>
        <w:t xml:space="preserve"> with the understanding that the speciation arguments could still exist under the </w:t>
      </w:r>
      <w:r>
        <w:rPr>
          <w:i/>
          <w:lang w:val="en-US"/>
        </w:rPr>
        <w:t>Australopithecus</w:t>
      </w:r>
      <w:r>
        <w:rPr>
          <w:lang w:val="en-US"/>
        </w:rPr>
        <w:t xml:space="preserve"> designation instead.</w:t>
      </w:r>
    </w:p>
    <w:p w:rsidR="00AA678B" w:rsidRPr="00AA678B" w:rsidRDefault="00AA678B" w:rsidP="001741D2">
      <w:pPr>
        <w:spacing w:line="480" w:lineRule="auto"/>
        <w:rPr>
          <w:lang w:val="en-US"/>
        </w:rPr>
      </w:pPr>
      <w:r>
        <w:rPr>
          <w:i/>
          <w:lang w:val="en-US"/>
        </w:rPr>
        <w:t xml:space="preserve">In the Genus </w:t>
      </w:r>
      <w:r>
        <w:rPr>
          <w:lang w:val="en-US"/>
        </w:rPr>
        <w:t>Homo</w:t>
      </w:r>
    </w:p>
    <w:p w:rsidR="00073673" w:rsidRDefault="00E96133" w:rsidP="001741D2">
      <w:pPr>
        <w:spacing w:line="480" w:lineRule="auto"/>
        <w:ind w:firstLine="720"/>
        <w:rPr>
          <w:lang w:val="en-US"/>
        </w:rPr>
      </w:pPr>
      <w:r>
        <w:rPr>
          <w:lang w:val="en-US"/>
        </w:rPr>
        <w:t>Most of the discussion surrounding the species assignment for KNM-ER 1813 has centered around its difference to a</w:t>
      </w:r>
      <w:r w:rsidR="00196243">
        <w:rPr>
          <w:lang w:val="en-US"/>
        </w:rPr>
        <w:t xml:space="preserve"> specimen announced </w:t>
      </w:r>
      <w:r>
        <w:rPr>
          <w:lang w:val="en-US"/>
        </w:rPr>
        <w:t>a year before its discovery, KNM-ER 1470</w:t>
      </w:r>
      <w:r w:rsidRPr="00E96133">
        <w:rPr>
          <w:lang w:val="en-US"/>
        </w:rPr>
        <w:t xml:space="preserve"> </w:t>
      </w:r>
      <w:r w:rsidR="00546A83">
        <w:rPr>
          <w:noProof/>
          <w:lang w:val="en-US"/>
        </w:rPr>
        <w:t>(Leakey R.</w:t>
      </w:r>
      <w:r w:rsidR="00546A83" w:rsidRPr="001741D2">
        <w:rPr>
          <w:noProof/>
          <w:lang w:val="en-US"/>
        </w:rPr>
        <w:t>, 1973)</w:t>
      </w:r>
      <w:r>
        <w:rPr>
          <w:lang w:val="en-US"/>
        </w:rPr>
        <w:t xml:space="preserve">. It </w:t>
      </w:r>
      <w:r w:rsidR="00196243">
        <w:rPr>
          <w:lang w:val="en-US"/>
        </w:rPr>
        <w:t>was found in nearby Area 131 of the Koobi Fora site</w:t>
      </w:r>
      <w:r>
        <w:rPr>
          <w:lang w:val="en-US"/>
        </w:rPr>
        <w:t xml:space="preserve"> and after a reanalysis of the stratigraphy was dated to around the same time as KNM-ER 1813 at </w:t>
      </w:r>
      <w:r w:rsidR="00D9086E">
        <w:rPr>
          <w:lang w:val="en-US"/>
        </w:rPr>
        <w:t xml:space="preserve">2.03 million years old </w:t>
      </w:r>
      <w:sdt>
        <w:sdtPr>
          <w:rPr>
            <w:lang w:val="en-US"/>
          </w:rPr>
          <w:id w:val="100621992"/>
          <w:citation/>
        </w:sdtPr>
        <w:sdtEndPr/>
        <w:sdtContent>
          <w:r w:rsidR="00D9086E">
            <w:rPr>
              <w:lang w:val="en-US"/>
            </w:rPr>
            <w:fldChar w:fldCharType="begin"/>
          </w:r>
          <w:r w:rsidR="001741D2">
            <w:rPr>
              <w:lang w:val="en-US"/>
            </w:rPr>
            <w:instrText xml:space="preserve">CITATION Ant12 \l 1033 </w:instrText>
          </w:r>
          <w:r w:rsidR="00D9086E">
            <w:rPr>
              <w:lang w:val="en-US"/>
            </w:rPr>
            <w:fldChar w:fldCharType="separate"/>
          </w:r>
          <w:r w:rsidR="001741D2" w:rsidRPr="001741D2">
            <w:rPr>
              <w:noProof/>
              <w:lang w:val="en-US"/>
            </w:rPr>
            <w:t>(Antón, 2012)</w:t>
          </w:r>
          <w:r w:rsidR="00D9086E">
            <w:rPr>
              <w:lang w:val="en-US"/>
            </w:rPr>
            <w:fldChar w:fldCharType="end"/>
          </w:r>
        </w:sdtContent>
      </w:sdt>
      <w:r w:rsidR="00196243">
        <w:rPr>
          <w:lang w:val="en-US"/>
        </w:rPr>
        <w:t>; however, it had a much larger skull, or</w:t>
      </w:r>
      <w:r>
        <w:rPr>
          <w:lang w:val="en-US"/>
        </w:rPr>
        <w:t>iginally estimated around 800cc</w:t>
      </w:r>
      <w:r w:rsidR="00D9086E">
        <w:rPr>
          <w:lang w:val="en-US"/>
        </w:rPr>
        <w:t xml:space="preserve"> </w:t>
      </w:r>
      <w:r w:rsidR="00546A83">
        <w:rPr>
          <w:noProof/>
          <w:lang w:val="en-US"/>
        </w:rPr>
        <w:t>(Leakey R.</w:t>
      </w:r>
      <w:r w:rsidR="00546A83" w:rsidRPr="001741D2">
        <w:rPr>
          <w:noProof/>
          <w:lang w:val="en-US"/>
        </w:rPr>
        <w:t>, 1973)</w:t>
      </w:r>
      <w:r>
        <w:rPr>
          <w:lang w:val="en-US"/>
        </w:rPr>
        <w:t xml:space="preserve">. </w:t>
      </w:r>
      <w:r w:rsidR="00196243">
        <w:rPr>
          <w:lang w:val="en-US"/>
        </w:rPr>
        <w:t xml:space="preserve">Ever since, there has been debate about how to portray these two specimens in an appropriate manner: Are they separate species or subspecies, or could they be evidence of significant sexual dimorphism in early </w:t>
      </w:r>
      <w:r w:rsidR="00525541">
        <w:rPr>
          <w:i/>
          <w:lang w:val="en-US"/>
        </w:rPr>
        <w:t>Homo</w:t>
      </w:r>
      <w:r w:rsidR="00525541">
        <w:rPr>
          <w:lang w:val="en-US"/>
        </w:rPr>
        <w:t>?</w:t>
      </w:r>
    </w:p>
    <w:p w:rsidR="00E947B8" w:rsidRDefault="00E947B8" w:rsidP="001741D2">
      <w:pPr>
        <w:spacing w:line="480" w:lineRule="auto"/>
        <w:rPr>
          <w:lang w:val="en-US"/>
        </w:rPr>
      </w:pPr>
      <w:r>
        <w:rPr>
          <w:lang w:val="en-US"/>
        </w:rPr>
        <w:lastRenderedPageBreak/>
        <w:tab/>
      </w:r>
      <w:r w:rsidR="0003523C">
        <w:rPr>
          <w:lang w:val="en-US"/>
        </w:rPr>
        <w:t xml:space="preserve">The two specimens have long been contrasted against each other because their relative completion and context of discovery have led many to question the early hominid taxonomy, and as such, each have also gone through a number of reassignments in paleoanthropological literature. When it was first announced, KNM-ER 1470 was declared </w:t>
      </w:r>
      <w:r w:rsidR="0003523C">
        <w:rPr>
          <w:i/>
          <w:lang w:val="en-US"/>
        </w:rPr>
        <w:t xml:space="preserve">Homo </w:t>
      </w:r>
      <w:r w:rsidR="0003523C">
        <w:rPr>
          <w:lang w:val="en-US"/>
        </w:rPr>
        <w:t xml:space="preserve">sp. </w:t>
      </w:r>
      <w:proofErr w:type="spellStart"/>
      <w:r w:rsidR="00006643">
        <w:rPr>
          <w:lang w:val="en-US"/>
        </w:rPr>
        <w:t>indet</w:t>
      </w:r>
      <w:proofErr w:type="spellEnd"/>
      <w:r w:rsidR="0003523C">
        <w:rPr>
          <w:lang w:val="en-US"/>
        </w:rPr>
        <w:t xml:space="preserve"> because its cranial size and some relative gracility made it too human-like to be included in </w:t>
      </w:r>
      <w:r w:rsidR="0003523C">
        <w:rPr>
          <w:i/>
          <w:lang w:val="en-US"/>
        </w:rPr>
        <w:t>Australopithecus</w:t>
      </w:r>
      <w:r w:rsidR="0003523C">
        <w:rPr>
          <w:lang w:val="en-US"/>
        </w:rPr>
        <w:t xml:space="preserve"> </w:t>
      </w:r>
      <w:r w:rsidR="00C96EC5">
        <w:rPr>
          <w:noProof/>
          <w:lang w:val="en-US"/>
        </w:rPr>
        <w:t xml:space="preserve">(Leakey R., </w:t>
      </w:r>
      <w:r w:rsidR="0003523C" w:rsidRPr="0003523C">
        <w:rPr>
          <w:noProof/>
          <w:lang w:val="en-US"/>
        </w:rPr>
        <w:t>1973)</w:t>
      </w:r>
      <w:r w:rsidR="0003523C">
        <w:rPr>
          <w:lang w:val="en-US"/>
        </w:rPr>
        <w:t xml:space="preserve">. </w:t>
      </w:r>
      <w:r w:rsidR="00C96EC5">
        <w:rPr>
          <w:lang w:val="en-US"/>
        </w:rPr>
        <w:t xml:space="preserve">In 1986, however, Valery </w:t>
      </w:r>
      <w:proofErr w:type="spellStart"/>
      <w:r w:rsidR="00C96EC5">
        <w:rPr>
          <w:lang w:val="en-US"/>
        </w:rPr>
        <w:t>Alexeev</w:t>
      </w:r>
      <w:proofErr w:type="spellEnd"/>
      <w:r w:rsidR="00C96EC5">
        <w:rPr>
          <w:lang w:val="en-US"/>
        </w:rPr>
        <w:t xml:space="preserve"> proposed the species </w:t>
      </w:r>
      <w:r w:rsidR="00C96EC5">
        <w:rPr>
          <w:i/>
          <w:lang w:val="en-US"/>
        </w:rPr>
        <w:t>H. rudolfensis</w:t>
      </w:r>
      <w:r w:rsidR="00546A83">
        <w:rPr>
          <w:lang w:val="en-US"/>
        </w:rPr>
        <w:t xml:space="preserve"> based on some morphological differences and the size of its cranium</w:t>
      </w:r>
      <w:r w:rsidR="00C96EC5">
        <w:rPr>
          <w:lang w:val="en-US"/>
        </w:rPr>
        <w:t xml:space="preserve">, and since then has been the type specimen representing only a few other very fragmentary and very contested specimens </w:t>
      </w:r>
      <w:sdt>
        <w:sdtPr>
          <w:rPr>
            <w:lang w:val="en-US"/>
          </w:rPr>
          <w:id w:val="474412188"/>
          <w:citation/>
        </w:sdtPr>
        <w:sdtEndPr/>
        <w:sdtContent>
          <w:r w:rsidR="00C96EC5">
            <w:rPr>
              <w:lang w:val="en-US"/>
            </w:rPr>
            <w:fldChar w:fldCharType="begin"/>
          </w:r>
          <w:r w:rsidR="001741D2">
            <w:rPr>
              <w:lang w:val="en-US"/>
            </w:rPr>
            <w:instrText xml:space="preserve">CITATION Ant12 \l 1033 </w:instrText>
          </w:r>
          <w:r w:rsidR="00C96EC5">
            <w:rPr>
              <w:lang w:val="en-US"/>
            </w:rPr>
            <w:fldChar w:fldCharType="separate"/>
          </w:r>
          <w:r w:rsidR="001741D2" w:rsidRPr="001741D2">
            <w:rPr>
              <w:noProof/>
              <w:lang w:val="en-US"/>
            </w:rPr>
            <w:t>(Antón, 2012)</w:t>
          </w:r>
          <w:r w:rsidR="00C96EC5">
            <w:rPr>
              <w:lang w:val="en-US"/>
            </w:rPr>
            <w:fldChar w:fldCharType="end"/>
          </w:r>
        </w:sdtContent>
      </w:sdt>
      <w:r w:rsidR="00C96EC5">
        <w:rPr>
          <w:lang w:val="en-US"/>
        </w:rPr>
        <w:t xml:space="preserve">. </w:t>
      </w:r>
      <w:r w:rsidR="00006643">
        <w:rPr>
          <w:lang w:val="en-US"/>
        </w:rPr>
        <w:t xml:space="preserve">At the time of its announcement, KNM-ER 1813 was also </w:t>
      </w:r>
      <w:r w:rsidR="00006643">
        <w:rPr>
          <w:i/>
          <w:lang w:val="en-US"/>
        </w:rPr>
        <w:t>Homo</w:t>
      </w:r>
      <w:r w:rsidR="00546A83">
        <w:rPr>
          <w:lang w:val="en-US"/>
        </w:rPr>
        <w:t xml:space="preserve"> sp. </w:t>
      </w:r>
      <w:proofErr w:type="spellStart"/>
      <w:r w:rsidR="00546A83">
        <w:rPr>
          <w:lang w:val="en-US"/>
        </w:rPr>
        <w:t>indet</w:t>
      </w:r>
      <w:proofErr w:type="spellEnd"/>
      <w:r w:rsidR="00546A83">
        <w:rPr>
          <w:lang w:val="en-US"/>
        </w:rPr>
        <w:t>. But based again on size differences,</w:t>
      </w:r>
      <w:r w:rsidR="00006643">
        <w:rPr>
          <w:lang w:val="en-US"/>
        </w:rPr>
        <w:t xml:space="preserve"> the authors suggested that KNM-ER 1470 could belong to </w:t>
      </w:r>
      <w:r w:rsidR="00006643">
        <w:rPr>
          <w:i/>
          <w:lang w:val="en-US"/>
        </w:rPr>
        <w:t>H. habilis</w:t>
      </w:r>
      <w:r w:rsidR="00006643">
        <w:rPr>
          <w:lang w:val="en-US"/>
        </w:rPr>
        <w:t xml:space="preserve">, and KNM-ER 1813 could represent a contemporary group that was separate from </w:t>
      </w:r>
      <w:r w:rsidR="00006643">
        <w:rPr>
          <w:i/>
          <w:lang w:val="en-US"/>
        </w:rPr>
        <w:t>H. habilis</w:t>
      </w:r>
      <w:r w:rsidR="00006643">
        <w:rPr>
          <w:lang w:val="en-US"/>
        </w:rPr>
        <w:t xml:space="preserve">, though no name was proposed yet </w:t>
      </w:r>
      <w:r w:rsidR="00546A83">
        <w:rPr>
          <w:noProof/>
          <w:lang w:val="en-US"/>
        </w:rPr>
        <w:t>(Leakey R.</w:t>
      </w:r>
      <w:r w:rsidR="00546A83" w:rsidRPr="001741D2">
        <w:rPr>
          <w:noProof/>
          <w:lang w:val="en-US"/>
        </w:rPr>
        <w:t>, 1974)</w:t>
      </w:r>
      <w:r w:rsidR="00006643">
        <w:rPr>
          <w:lang w:val="en-US"/>
        </w:rPr>
        <w:t>.</w:t>
      </w:r>
      <w:r w:rsidR="005D0013">
        <w:rPr>
          <w:lang w:val="en-US"/>
        </w:rPr>
        <w:t xml:space="preserve"> Some attempts were made to assign it to a completely new species, like </w:t>
      </w:r>
      <w:r w:rsidR="00546A83">
        <w:rPr>
          <w:i/>
          <w:lang w:val="en-US"/>
        </w:rPr>
        <w:t xml:space="preserve">H. </w:t>
      </w:r>
      <w:proofErr w:type="spellStart"/>
      <w:r w:rsidR="00546A83">
        <w:rPr>
          <w:i/>
          <w:lang w:val="en-US"/>
        </w:rPr>
        <w:t>mi</w:t>
      </w:r>
      <w:r w:rsidR="005D0013">
        <w:rPr>
          <w:i/>
          <w:lang w:val="en-US"/>
        </w:rPr>
        <w:t>crocranous</w:t>
      </w:r>
      <w:proofErr w:type="spellEnd"/>
      <w:r w:rsidR="00006643">
        <w:rPr>
          <w:lang w:val="en-US"/>
        </w:rPr>
        <w:t xml:space="preserve"> </w:t>
      </w:r>
      <w:sdt>
        <w:sdtPr>
          <w:rPr>
            <w:lang w:val="en-US"/>
          </w:rPr>
          <w:id w:val="828405796"/>
          <w:citation/>
        </w:sdtPr>
        <w:sdtEndPr/>
        <w:sdtContent>
          <w:r w:rsidR="005D0013">
            <w:rPr>
              <w:lang w:val="en-US"/>
            </w:rPr>
            <w:fldChar w:fldCharType="begin"/>
          </w:r>
          <w:r w:rsidR="005D0013">
            <w:rPr>
              <w:lang w:val="en-US"/>
            </w:rPr>
            <w:instrText xml:space="preserve"> CITATION Fer95 \l 1033 </w:instrText>
          </w:r>
          <w:r w:rsidR="005D0013">
            <w:rPr>
              <w:lang w:val="en-US"/>
            </w:rPr>
            <w:fldChar w:fldCharType="separate"/>
          </w:r>
          <w:r w:rsidR="001741D2" w:rsidRPr="001741D2">
            <w:rPr>
              <w:noProof/>
              <w:lang w:val="en-US"/>
            </w:rPr>
            <w:t>(Ferguson, 1995)</w:t>
          </w:r>
          <w:r w:rsidR="005D0013">
            <w:rPr>
              <w:lang w:val="en-US"/>
            </w:rPr>
            <w:fldChar w:fldCharType="end"/>
          </w:r>
        </w:sdtContent>
      </w:sdt>
      <w:r w:rsidR="005D0013">
        <w:rPr>
          <w:lang w:val="en-US"/>
        </w:rPr>
        <w:t>, but these attempts did not becom</w:t>
      </w:r>
      <w:r w:rsidR="00CB3020">
        <w:rPr>
          <w:lang w:val="en-US"/>
        </w:rPr>
        <w:t xml:space="preserve">e a popular trend. Instead, if one takes the splitting approach with these two specimens, then the earliest arguments regarding KNM-ER 1813 have essentially reversed. In terms of size, KNM-ER 1813 is closer OH 7, the type specimen for </w:t>
      </w:r>
      <w:r w:rsidR="00CB3020">
        <w:rPr>
          <w:i/>
          <w:lang w:val="en-US"/>
        </w:rPr>
        <w:t>H. habilis</w:t>
      </w:r>
      <w:r w:rsidR="00CB3020">
        <w:rPr>
          <w:lang w:val="en-US"/>
        </w:rPr>
        <w:t xml:space="preserve"> and may be subsumed within that group while KNM-ER 1470 remains the type specimen for </w:t>
      </w:r>
      <w:r w:rsidR="00CB3020">
        <w:rPr>
          <w:i/>
          <w:lang w:val="en-US"/>
        </w:rPr>
        <w:t>H. rudolfensis</w:t>
      </w:r>
      <w:r w:rsidR="00CB3020">
        <w:rPr>
          <w:lang w:val="en-US"/>
        </w:rPr>
        <w:t xml:space="preserve"> </w:t>
      </w:r>
      <w:r w:rsidR="00546A83">
        <w:rPr>
          <w:noProof/>
          <w:lang w:val="en-US"/>
        </w:rPr>
        <w:t xml:space="preserve">(Leakey, Tobias, &amp; Napier, 1964; </w:t>
      </w:r>
      <w:r w:rsidR="00546A83" w:rsidRPr="001741D2">
        <w:rPr>
          <w:noProof/>
          <w:lang w:val="en-US"/>
        </w:rPr>
        <w:t>Antón, 2012)</w:t>
      </w:r>
      <w:r w:rsidR="00CB3020">
        <w:rPr>
          <w:lang w:val="en-US"/>
        </w:rPr>
        <w:t xml:space="preserve">. </w:t>
      </w:r>
      <w:r w:rsidR="00546A83">
        <w:rPr>
          <w:lang w:val="en-US"/>
        </w:rPr>
        <w:t>However, the association of KNM-ER 1813 with OH 7 based on size is problematic, again because of morphological differences</w:t>
      </w:r>
      <w:r w:rsidR="00BA67B5">
        <w:rPr>
          <w:lang w:val="en-US"/>
        </w:rPr>
        <w:t>. These may not</w:t>
      </w:r>
      <w:r w:rsidR="00546A83">
        <w:rPr>
          <w:lang w:val="en-US"/>
        </w:rPr>
        <w:t xml:space="preserve"> be resolved since OH 7 is a subadult, and it is unknown how the cranium might change over time in these early ancestors </w:t>
      </w:r>
      <w:sdt>
        <w:sdtPr>
          <w:rPr>
            <w:lang w:val="en-US"/>
          </w:rPr>
          <w:id w:val="-1776854068"/>
          <w:citation/>
        </w:sdtPr>
        <w:sdtEndPr/>
        <w:sdtContent>
          <w:r w:rsidR="00546A83">
            <w:rPr>
              <w:lang w:val="en-US"/>
            </w:rPr>
            <w:fldChar w:fldCharType="begin"/>
          </w:r>
          <w:r w:rsidR="00546A83">
            <w:rPr>
              <w:lang w:val="en-US"/>
            </w:rPr>
            <w:instrText xml:space="preserve"> CITATION Ant12 \l 1033 </w:instrText>
          </w:r>
          <w:r w:rsidR="00546A83">
            <w:rPr>
              <w:lang w:val="en-US"/>
            </w:rPr>
            <w:fldChar w:fldCharType="separate"/>
          </w:r>
          <w:r w:rsidR="00546A83" w:rsidRPr="00546A83">
            <w:rPr>
              <w:noProof/>
              <w:lang w:val="en-US"/>
            </w:rPr>
            <w:t>(Antón, 2012)</w:t>
          </w:r>
          <w:r w:rsidR="00546A83">
            <w:rPr>
              <w:lang w:val="en-US"/>
            </w:rPr>
            <w:fldChar w:fldCharType="end"/>
          </w:r>
        </w:sdtContent>
      </w:sdt>
      <w:r w:rsidR="00546A83">
        <w:rPr>
          <w:lang w:val="en-US"/>
        </w:rPr>
        <w:t>.</w:t>
      </w:r>
    </w:p>
    <w:p w:rsidR="00CB3020" w:rsidRDefault="00CB3020" w:rsidP="001741D2">
      <w:pPr>
        <w:spacing w:line="480" w:lineRule="auto"/>
        <w:rPr>
          <w:lang w:val="en-US"/>
        </w:rPr>
      </w:pPr>
      <w:r>
        <w:rPr>
          <w:lang w:val="en-US"/>
        </w:rPr>
        <w:tab/>
        <w:t>One major counterargument that has resurfaced many times in the literature is the issue of sexual dimorphism</w:t>
      </w:r>
      <w:r w:rsidR="00173C88">
        <w:rPr>
          <w:noProof/>
          <w:lang w:val="en-US"/>
        </w:rPr>
        <w:t xml:space="preserve"> </w:t>
      </w:r>
      <w:r w:rsidR="00173C88" w:rsidRPr="00173C88">
        <w:rPr>
          <w:noProof/>
          <w:lang w:val="en-US"/>
        </w:rPr>
        <w:t>(Walker, 1976</w:t>
      </w:r>
      <w:r w:rsidR="00546A83">
        <w:rPr>
          <w:noProof/>
          <w:lang w:val="en-US"/>
        </w:rPr>
        <w:t xml:space="preserve">; </w:t>
      </w:r>
      <w:r w:rsidR="00546A83" w:rsidRPr="001741D2">
        <w:rPr>
          <w:noProof/>
          <w:lang w:val="en-US"/>
        </w:rPr>
        <w:t>L</w:t>
      </w:r>
      <w:r w:rsidR="00546A83">
        <w:rPr>
          <w:noProof/>
          <w:lang w:val="en-US"/>
        </w:rPr>
        <w:t xml:space="preserve">ieberman, Pilbeam, &amp; Wood, 1988; Ferguson, 1995; </w:t>
      </w:r>
      <w:r w:rsidR="00546A83" w:rsidRPr="001741D2">
        <w:rPr>
          <w:noProof/>
          <w:lang w:val="en-US"/>
        </w:rPr>
        <w:t>Antón, 2012)</w:t>
      </w:r>
      <w:r w:rsidR="00173C88">
        <w:rPr>
          <w:lang w:val="en-US"/>
        </w:rPr>
        <w:t xml:space="preserve">. Disregarding some of the morphological differences between the two specimens, </w:t>
      </w:r>
      <w:r w:rsidR="00173C88">
        <w:rPr>
          <w:lang w:val="en-US"/>
        </w:rPr>
        <w:lastRenderedPageBreak/>
        <w:t>researchers wanted to know whether a nearly 300cc volume difference in cranial capacity could be accounted for by sexual dimorphism alone. A study by Lieberman</w:t>
      </w:r>
      <w:r w:rsidR="00745A16">
        <w:rPr>
          <w:lang w:val="en-US"/>
        </w:rPr>
        <w:t xml:space="preserve"> et al.</w:t>
      </w:r>
      <w:r w:rsidR="00546A83">
        <w:rPr>
          <w:lang w:val="en-US"/>
        </w:rPr>
        <w:t xml:space="preserve"> concluded that </w:t>
      </w:r>
      <w:r w:rsidR="00173C88">
        <w:rPr>
          <w:lang w:val="en-US"/>
        </w:rPr>
        <w:t xml:space="preserve">the difference was too large (1988). They took the difference between the average male and female cranial capacities in </w:t>
      </w:r>
      <w:r w:rsidR="00173C88">
        <w:rPr>
          <w:i/>
          <w:lang w:val="en-US"/>
        </w:rPr>
        <w:t xml:space="preserve">Gorilla </w:t>
      </w:r>
      <w:proofErr w:type="spellStart"/>
      <w:r w:rsidR="00173C88">
        <w:rPr>
          <w:i/>
          <w:lang w:val="en-US"/>
        </w:rPr>
        <w:t>gorilla</w:t>
      </w:r>
      <w:proofErr w:type="spellEnd"/>
      <w:r w:rsidR="00653605">
        <w:rPr>
          <w:lang w:val="en-US"/>
        </w:rPr>
        <w:t xml:space="preserve"> and determined that the difference between the two fossil specimens fell significantly outside that range. </w:t>
      </w:r>
      <w:r w:rsidR="00EE7C0E">
        <w:rPr>
          <w:lang w:val="en-US"/>
        </w:rPr>
        <w:t>The justificati</w:t>
      </w:r>
      <w:r w:rsidR="00C63A1B">
        <w:rPr>
          <w:lang w:val="en-US"/>
        </w:rPr>
        <w:t>on for this type of comparison wa</w:t>
      </w:r>
      <w:r w:rsidR="00EE7C0E">
        <w:rPr>
          <w:lang w:val="en-US"/>
        </w:rPr>
        <w:t xml:space="preserve">s that </w:t>
      </w:r>
      <w:r w:rsidR="00EE7C0E">
        <w:rPr>
          <w:i/>
          <w:lang w:val="en-US"/>
        </w:rPr>
        <w:t xml:space="preserve">Gorilla </w:t>
      </w:r>
      <w:proofErr w:type="spellStart"/>
      <w:r w:rsidR="00EE7C0E">
        <w:rPr>
          <w:i/>
          <w:lang w:val="en-US"/>
        </w:rPr>
        <w:t>gorilla</w:t>
      </w:r>
      <w:proofErr w:type="spellEnd"/>
      <w:r w:rsidR="00EE7C0E">
        <w:rPr>
          <w:lang w:val="en-US"/>
        </w:rPr>
        <w:t xml:space="preserve"> is the most closely related to humans and human ancestors while also being the most sexually dimorphic, thereby setting an upper limit that would be not likely be superseded. However, some have expressed doubts about the validity of this type of comparison, and when considering the range of sexual dimorphism possible in </w:t>
      </w:r>
      <w:r w:rsidR="005D4C7D">
        <w:rPr>
          <w:lang w:val="en-US"/>
        </w:rPr>
        <w:t xml:space="preserve">other paleo-hominins like </w:t>
      </w:r>
      <w:r w:rsidR="005D4C7D">
        <w:rPr>
          <w:i/>
          <w:lang w:val="en-US"/>
        </w:rPr>
        <w:t xml:space="preserve">A. </w:t>
      </w:r>
      <w:proofErr w:type="spellStart"/>
      <w:r w:rsidR="005D4C7D" w:rsidRPr="005D4C7D">
        <w:rPr>
          <w:i/>
          <w:lang w:val="en-US"/>
        </w:rPr>
        <w:t>africanu</w:t>
      </w:r>
      <w:r w:rsidR="005D4C7D">
        <w:rPr>
          <w:i/>
          <w:lang w:val="en-US"/>
        </w:rPr>
        <w:t>s</w:t>
      </w:r>
      <w:proofErr w:type="spellEnd"/>
      <w:r w:rsidR="005D4C7D">
        <w:rPr>
          <w:lang w:val="en-US"/>
        </w:rPr>
        <w:t xml:space="preserve">, </w:t>
      </w:r>
      <w:r w:rsidR="005D4C7D">
        <w:rPr>
          <w:i/>
          <w:lang w:val="en-US"/>
        </w:rPr>
        <w:t>A. afarensis</w:t>
      </w:r>
      <w:r w:rsidR="005D4C7D">
        <w:rPr>
          <w:lang w:val="en-US"/>
        </w:rPr>
        <w:t>, and</w:t>
      </w:r>
      <w:r w:rsidR="005D4C7D">
        <w:rPr>
          <w:i/>
          <w:lang w:val="en-US"/>
        </w:rPr>
        <w:t xml:space="preserve"> </w:t>
      </w:r>
      <w:r w:rsidR="005D4C7D" w:rsidRPr="005D4C7D">
        <w:rPr>
          <w:i/>
          <w:lang w:val="en-US"/>
        </w:rPr>
        <w:t>P</w:t>
      </w:r>
      <w:r w:rsidR="005D4C7D">
        <w:rPr>
          <w:i/>
          <w:lang w:val="en-US"/>
        </w:rPr>
        <w:t xml:space="preserve">. </w:t>
      </w:r>
      <w:proofErr w:type="spellStart"/>
      <w:r w:rsidR="005D4C7D">
        <w:rPr>
          <w:i/>
          <w:lang w:val="en-US"/>
        </w:rPr>
        <w:t>boisei</w:t>
      </w:r>
      <w:proofErr w:type="spellEnd"/>
      <w:r w:rsidR="005D4C7D">
        <w:rPr>
          <w:lang w:val="en-US"/>
        </w:rPr>
        <w:t xml:space="preserve">, the conclusiveness of this study is called into question </w:t>
      </w:r>
      <w:r w:rsidR="00C63A1B" w:rsidRPr="001741D2">
        <w:rPr>
          <w:noProof/>
          <w:lang w:val="en-US"/>
        </w:rPr>
        <w:t>(L</w:t>
      </w:r>
      <w:r w:rsidR="00C63A1B">
        <w:rPr>
          <w:noProof/>
          <w:lang w:val="en-US"/>
        </w:rPr>
        <w:t xml:space="preserve">ieberman, Pilbeam, &amp; Wood, 1988; </w:t>
      </w:r>
      <w:r w:rsidR="00C63A1B" w:rsidRPr="001741D2">
        <w:rPr>
          <w:noProof/>
          <w:lang w:val="en-US"/>
        </w:rPr>
        <w:t>Lockwood, 1999)</w:t>
      </w:r>
      <w:r w:rsidR="005D4C7D">
        <w:rPr>
          <w:lang w:val="en-US"/>
        </w:rPr>
        <w:t>.</w:t>
      </w:r>
    </w:p>
    <w:p w:rsidR="003C5CA2" w:rsidRDefault="005D4C7D" w:rsidP="001741D2">
      <w:pPr>
        <w:spacing w:line="480" w:lineRule="auto"/>
        <w:rPr>
          <w:lang w:val="en-US"/>
        </w:rPr>
      </w:pPr>
      <w:r>
        <w:rPr>
          <w:lang w:val="en-US"/>
        </w:rPr>
        <w:tab/>
        <w:t xml:space="preserve">Another obstacle for assigning KNM-ER 1813 to a specific taxon is the issue of morphological variation outside of cranial capacity. </w:t>
      </w:r>
      <w:r w:rsidR="00745A16">
        <w:rPr>
          <w:lang w:val="en-US"/>
        </w:rPr>
        <w:t xml:space="preserve">In the same article on sexual dimorphism, the authors list a suite of traits that differed between KNM-ER 1813 and KNM-ER 1470 </w:t>
      </w:r>
      <w:sdt>
        <w:sdtPr>
          <w:rPr>
            <w:lang w:val="en-US"/>
          </w:rPr>
          <w:id w:val="-1717887871"/>
          <w:citation/>
        </w:sdtPr>
        <w:sdtEndPr/>
        <w:sdtContent>
          <w:r w:rsidR="00745A16">
            <w:rPr>
              <w:lang w:val="en-US"/>
            </w:rPr>
            <w:fldChar w:fldCharType="begin"/>
          </w:r>
          <w:r w:rsidR="001741D2">
            <w:rPr>
              <w:lang w:val="en-US"/>
            </w:rPr>
            <w:instrText xml:space="preserve">CITATION Lie88 \l 1033 </w:instrText>
          </w:r>
          <w:r w:rsidR="00745A16">
            <w:rPr>
              <w:lang w:val="en-US"/>
            </w:rPr>
            <w:fldChar w:fldCharType="separate"/>
          </w:r>
          <w:r w:rsidR="001741D2" w:rsidRPr="001741D2">
            <w:rPr>
              <w:noProof/>
              <w:lang w:val="en-US"/>
            </w:rPr>
            <w:t>(Lieberman, Pilbeam, &amp; Wood, 1988)</w:t>
          </w:r>
          <w:r w:rsidR="00745A16">
            <w:rPr>
              <w:lang w:val="en-US"/>
            </w:rPr>
            <w:fldChar w:fldCharType="end"/>
          </w:r>
        </w:sdtContent>
      </w:sdt>
      <w:r w:rsidR="00AA678B">
        <w:rPr>
          <w:lang w:val="en-US"/>
        </w:rPr>
        <w:t xml:space="preserve">. Perhaps most important for their argument against inclusivity of </w:t>
      </w:r>
      <w:r w:rsidR="00AA678B">
        <w:rPr>
          <w:i/>
          <w:lang w:val="en-US"/>
        </w:rPr>
        <w:t>H. habilis</w:t>
      </w:r>
      <w:r w:rsidR="00AA678B">
        <w:rPr>
          <w:lang w:val="en-US"/>
        </w:rPr>
        <w:t xml:space="preserve"> was that KNM-ER 1813 had slightly more robust features than KNM-ER 1470. Following the arguments of sexual dimorphism among hominids, KNM-ER 1813 would actually seem more ma</w:t>
      </w:r>
      <w:r w:rsidR="00C63A1B">
        <w:rPr>
          <w:lang w:val="en-US"/>
        </w:rPr>
        <w:t>sculine</w:t>
      </w:r>
      <w:r w:rsidR="00AA678B">
        <w:rPr>
          <w:lang w:val="en-US"/>
        </w:rPr>
        <w:t xml:space="preserve"> than the larger KNM-ER 1470. </w:t>
      </w:r>
      <w:r w:rsidR="003C5CA2">
        <w:rPr>
          <w:lang w:val="en-US"/>
        </w:rPr>
        <w:t xml:space="preserve">Indeed, these observations have led many to believe some type of split is valid; even Antón discussed two groups (perhaps more if one includes South African material) </w:t>
      </w:r>
      <w:r w:rsidR="00FA0234" w:rsidRPr="003C5CA2">
        <w:rPr>
          <w:lang w:val="en-US"/>
        </w:rPr>
        <w:t>based</w:t>
      </w:r>
      <w:r w:rsidR="00FA0234">
        <w:rPr>
          <w:lang w:val="en-US"/>
        </w:rPr>
        <w:t xml:space="preserve"> on a general 1813 or 1470 phenotype (2012). </w:t>
      </w:r>
    </w:p>
    <w:p w:rsidR="006556A0" w:rsidRDefault="003C5CA2" w:rsidP="001741D2">
      <w:pPr>
        <w:spacing w:line="480" w:lineRule="auto"/>
        <w:ind w:firstLine="720"/>
        <w:rPr>
          <w:lang w:val="en-US"/>
        </w:rPr>
      </w:pPr>
      <w:r>
        <w:rPr>
          <w:lang w:val="en-US"/>
        </w:rPr>
        <w:t xml:space="preserve">While refraining from assigning either of these groups to </w:t>
      </w:r>
      <w:r>
        <w:rPr>
          <w:i/>
          <w:lang w:val="en-US"/>
        </w:rPr>
        <w:t xml:space="preserve">H. habilis </w:t>
      </w:r>
      <w:r>
        <w:rPr>
          <w:lang w:val="en-US"/>
        </w:rPr>
        <w:t xml:space="preserve">or </w:t>
      </w:r>
      <w:r>
        <w:rPr>
          <w:i/>
          <w:lang w:val="en-US"/>
        </w:rPr>
        <w:t>H. rudolfensis</w:t>
      </w:r>
      <w:r>
        <w:rPr>
          <w:lang w:val="en-US"/>
        </w:rPr>
        <w:t xml:space="preserve"> may be a diplomatic tactic for those in</w:t>
      </w:r>
      <w:r w:rsidR="00415884">
        <w:rPr>
          <w:lang w:val="en-US"/>
        </w:rPr>
        <w:t xml:space="preserve"> favor of a splitting taxonomy,</w:t>
      </w:r>
      <w:r>
        <w:rPr>
          <w:lang w:val="en-US"/>
        </w:rPr>
        <w:t xml:space="preserve"> </w:t>
      </w:r>
      <w:r w:rsidR="00AB7498">
        <w:rPr>
          <w:lang w:val="en-US"/>
        </w:rPr>
        <w:t xml:space="preserve">there is evidence that </w:t>
      </w:r>
      <w:r w:rsidR="005B5B04">
        <w:rPr>
          <w:lang w:val="en-US"/>
        </w:rPr>
        <w:t xml:space="preserve">there could be a single lineage connecting </w:t>
      </w:r>
      <w:r w:rsidR="005B5B04">
        <w:rPr>
          <w:i/>
          <w:lang w:val="en-US"/>
        </w:rPr>
        <w:t>Australopithecus</w:t>
      </w:r>
      <w:r w:rsidR="005B5B04">
        <w:rPr>
          <w:lang w:val="en-US"/>
        </w:rPr>
        <w:t xml:space="preserve"> sp. to </w:t>
      </w:r>
      <w:r w:rsidR="005B5B04">
        <w:rPr>
          <w:i/>
          <w:lang w:val="en-US"/>
        </w:rPr>
        <w:t>Homo erectus</w:t>
      </w:r>
      <w:r w:rsidR="005B5B04">
        <w:rPr>
          <w:lang w:val="en-US"/>
        </w:rPr>
        <w:t xml:space="preserve">, and the amount of variation </w:t>
      </w:r>
      <w:r w:rsidR="005B5B04">
        <w:rPr>
          <w:lang w:val="en-US"/>
        </w:rPr>
        <w:lastRenderedPageBreak/>
        <w:t xml:space="preserve">one sees in the fossil record could be bounded by one taxonomic designation that evolved into another </w:t>
      </w:r>
      <w:sdt>
        <w:sdtPr>
          <w:rPr>
            <w:lang w:val="en-US"/>
          </w:rPr>
          <w:id w:val="-782043439"/>
          <w:citation/>
        </w:sdtPr>
        <w:sdtEndPr/>
        <w:sdtContent>
          <w:r w:rsidR="005B5B04">
            <w:rPr>
              <w:lang w:val="en-US"/>
            </w:rPr>
            <w:fldChar w:fldCharType="begin"/>
          </w:r>
          <w:r w:rsidR="005B5B04">
            <w:rPr>
              <w:lang w:val="en-US"/>
            </w:rPr>
            <w:instrText xml:space="preserve"> CITATION van13 \l 1033 </w:instrText>
          </w:r>
          <w:r w:rsidR="005B5B04">
            <w:rPr>
              <w:lang w:val="en-US"/>
            </w:rPr>
            <w:fldChar w:fldCharType="separate"/>
          </w:r>
          <w:r w:rsidR="001741D2" w:rsidRPr="001741D2">
            <w:rPr>
              <w:noProof/>
              <w:lang w:val="en-US"/>
            </w:rPr>
            <w:t>(van Arsdale &amp; Wolpoff, 2013)</w:t>
          </w:r>
          <w:r w:rsidR="005B5B04">
            <w:rPr>
              <w:lang w:val="en-US"/>
            </w:rPr>
            <w:fldChar w:fldCharType="end"/>
          </w:r>
        </w:sdtContent>
      </w:sdt>
      <w:r w:rsidR="005B5B04">
        <w:rPr>
          <w:lang w:val="en-US"/>
        </w:rPr>
        <w:t xml:space="preserve">. Acknowledging that the inclusion of certain specimens could affect the statistical trajectories they produced, the authors van </w:t>
      </w:r>
      <w:proofErr w:type="spellStart"/>
      <w:r w:rsidR="005B5B04">
        <w:rPr>
          <w:lang w:val="en-US"/>
        </w:rPr>
        <w:t>Arsdale</w:t>
      </w:r>
      <w:proofErr w:type="spellEnd"/>
      <w:r w:rsidR="005B5B04">
        <w:rPr>
          <w:lang w:val="en-US"/>
        </w:rPr>
        <w:t xml:space="preserve"> and </w:t>
      </w:r>
      <w:proofErr w:type="spellStart"/>
      <w:r w:rsidR="005B5B04">
        <w:rPr>
          <w:lang w:val="en-US"/>
        </w:rPr>
        <w:t>Wolpoff</w:t>
      </w:r>
      <w:proofErr w:type="spellEnd"/>
      <w:r w:rsidR="005B5B04">
        <w:rPr>
          <w:lang w:val="en-US"/>
        </w:rPr>
        <w:t xml:space="preserve"> tested the significance of including KNM-ER 1813 in several different contexts (within </w:t>
      </w:r>
      <w:r w:rsidR="005B5B04">
        <w:rPr>
          <w:i/>
          <w:lang w:val="en-US"/>
        </w:rPr>
        <w:t xml:space="preserve">Homo </w:t>
      </w:r>
      <w:r w:rsidR="005B5B04">
        <w:rPr>
          <w:lang w:val="en-US"/>
        </w:rPr>
        <w:t xml:space="preserve">variation and the transition between </w:t>
      </w:r>
      <w:r w:rsidR="005B5B04">
        <w:rPr>
          <w:i/>
          <w:lang w:val="en-US"/>
        </w:rPr>
        <w:t>Australopithecus</w:t>
      </w:r>
      <w:r w:rsidR="005B5B04">
        <w:rPr>
          <w:lang w:val="en-US"/>
        </w:rPr>
        <w:t xml:space="preserve"> and </w:t>
      </w:r>
      <w:r w:rsidR="005B5B04">
        <w:rPr>
          <w:i/>
          <w:lang w:val="en-US"/>
        </w:rPr>
        <w:t>Homo</w:t>
      </w:r>
      <w:r w:rsidR="005B5B04">
        <w:rPr>
          <w:lang w:val="en-US"/>
        </w:rPr>
        <w:t xml:space="preserve">) and could not rule against a single lineage hypothesis. </w:t>
      </w:r>
      <w:r w:rsidR="007C739F">
        <w:rPr>
          <w:lang w:val="en-US"/>
        </w:rPr>
        <w:t xml:space="preserve">This is in light of many interesting finds to have come out of </w:t>
      </w:r>
      <w:proofErr w:type="spellStart"/>
      <w:r w:rsidR="007C739F">
        <w:rPr>
          <w:lang w:val="en-US"/>
        </w:rPr>
        <w:t>Dmanisi</w:t>
      </w:r>
      <w:proofErr w:type="spellEnd"/>
      <w:r w:rsidR="007C739F">
        <w:rPr>
          <w:lang w:val="en-US"/>
        </w:rPr>
        <w:t xml:space="preserve">, Georgia, where the specimens from one locale exhibit an incredible amount of internal variation such that the </w:t>
      </w:r>
      <w:r w:rsidR="007C739F">
        <w:rPr>
          <w:i/>
          <w:lang w:val="en-US"/>
        </w:rPr>
        <w:t>H. rudolfensis</w:t>
      </w:r>
      <w:r w:rsidR="007C739F">
        <w:rPr>
          <w:lang w:val="en-US"/>
        </w:rPr>
        <w:t xml:space="preserve"> and </w:t>
      </w:r>
      <w:r w:rsidR="007C739F">
        <w:rPr>
          <w:i/>
          <w:lang w:val="en-US"/>
        </w:rPr>
        <w:t>H. habilis</w:t>
      </w:r>
      <w:r w:rsidR="007C739F">
        <w:rPr>
          <w:lang w:val="en-US"/>
        </w:rPr>
        <w:t xml:space="preserve"> divide is once again called into question </w:t>
      </w:r>
      <w:sdt>
        <w:sdtPr>
          <w:rPr>
            <w:lang w:val="en-US"/>
          </w:rPr>
          <w:id w:val="-2095614404"/>
          <w:citation/>
        </w:sdtPr>
        <w:sdtEndPr/>
        <w:sdtContent>
          <w:r w:rsidR="007C739F">
            <w:rPr>
              <w:lang w:val="en-US"/>
            </w:rPr>
            <w:fldChar w:fldCharType="begin"/>
          </w:r>
          <w:r w:rsidR="007C739F">
            <w:rPr>
              <w:lang w:val="en-US"/>
            </w:rPr>
            <w:instrText xml:space="preserve"> CITATION Lor13 \l 1033 </w:instrText>
          </w:r>
          <w:r w:rsidR="007C739F">
            <w:rPr>
              <w:lang w:val="en-US"/>
            </w:rPr>
            <w:fldChar w:fldCharType="separate"/>
          </w:r>
          <w:r w:rsidR="001741D2" w:rsidRPr="001741D2">
            <w:rPr>
              <w:noProof/>
              <w:lang w:val="en-US"/>
            </w:rPr>
            <w:t>(Lordipanidze, et al., 2013)</w:t>
          </w:r>
          <w:r w:rsidR="007C739F">
            <w:rPr>
              <w:lang w:val="en-US"/>
            </w:rPr>
            <w:fldChar w:fldCharType="end"/>
          </w:r>
        </w:sdtContent>
      </w:sdt>
      <w:r w:rsidR="007C739F">
        <w:rPr>
          <w:lang w:val="en-US"/>
        </w:rPr>
        <w:t xml:space="preserve">. </w:t>
      </w:r>
    </w:p>
    <w:p w:rsidR="006556A0" w:rsidRDefault="006556A0" w:rsidP="001741D2">
      <w:pPr>
        <w:spacing w:line="480" w:lineRule="auto"/>
        <w:rPr>
          <w:b/>
          <w:lang w:val="en-US"/>
        </w:rPr>
      </w:pPr>
      <w:r>
        <w:rPr>
          <w:b/>
          <w:lang w:val="en-US"/>
        </w:rPr>
        <w:t>Conclusions</w:t>
      </w:r>
    </w:p>
    <w:p w:rsidR="006556A0" w:rsidRPr="001741D2" w:rsidRDefault="00B278E8" w:rsidP="001741D2">
      <w:pPr>
        <w:spacing w:line="480" w:lineRule="auto"/>
        <w:rPr>
          <w:lang w:val="en-US"/>
        </w:rPr>
      </w:pPr>
      <w:r>
        <w:rPr>
          <w:lang w:val="en-US"/>
        </w:rPr>
        <w:tab/>
        <w:t xml:space="preserve">In the paleoanthropological world, KNM-ER 1813 is a specimen that, perhaps more than others, spawns ambiguity and confusion in </w:t>
      </w:r>
      <w:r w:rsidR="00C63A1B">
        <w:rPr>
          <w:lang w:val="en-US"/>
        </w:rPr>
        <w:t xml:space="preserve">categorizing </w:t>
      </w:r>
      <w:r>
        <w:rPr>
          <w:lang w:val="en-US"/>
        </w:rPr>
        <w:t xml:space="preserve">the fossil record. Indeed, its level of completeness, so rare because of the </w:t>
      </w:r>
      <w:proofErr w:type="spellStart"/>
      <w:r>
        <w:rPr>
          <w:lang w:val="en-US"/>
        </w:rPr>
        <w:t>taphonomic</w:t>
      </w:r>
      <w:proofErr w:type="spellEnd"/>
      <w:r>
        <w:rPr>
          <w:lang w:val="en-US"/>
        </w:rPr>
        <w:t xml:space="preserve"> biases against preservation, is almost a hindrance to many models of human evolution because no one can deny that it is </w:t>
      </w:r>
      <w:r>
        <w:rPr>
          <w:i/>
          <w:lang w:val="en-US"/>
        </w:rPr>
        <w:t>small</w:t>
      </w:r>
      <w:r>
        <w:rPr>
          <w:lang w:val="en-US"/>
        </w:rPr>
        <w:t>. However, it is a boon to those proponents of the gradistic classification of human ancestors. Australopithecines have small crania, and if a group of individuals can range from</w:t>
      </w:r>
      <w:r w:rsidR="001741D2">
        <w:rPr>
          <w:lang w:val="en-US"/>
        </w:rPr>
        <w:t xml:space="preserve"> 800 down to 500cc and still retain a number of primitive features such as occasional arboreality and enhanced chewing mechanisms, then perhaps KNM-ER 1813 and its related specimens should be subsumed into </w:t>
      </w:r>
      <w:r w:rsidR="001741D2">
        <w:rPr>
          <w:i/>
          <w:lang w:val="en-US"/>
        </w:rPr>
        <w:t>Australopithecus</w:t>
      </w:r>
      <w:r w:rsidR="001741D2">
        <w:rPr>
          <w:lang w:val="en-US"/>
        </w:rPr>
        <w:t xml:space="preserve">, and the genus </w:t>
      </w:r>
      <w:r w:rsidR="001741D2">
        <w:rPr>
          <w:i/>
          <w:lang w:val="en-US"/>
        </w:rPr>
        <w:t>Homo</w:t>
      </w:r>
      <w:r w:rsidR="001741D2">
        <w:rPr>
          <w:lang w:val="en-US"/>
        </w:rPr>
        <w:t xml:space="preserve">, therefore, would be a more exclusive group on the principle of shared adaptive zones. </w:t>
      </w:r>
      <w:r w:rsidR="00C63A1B">
        <w:rPr>
          <w:lang w:val="en-US"/>
        </w:rPr>
        <w:t xml:space="preserve">Not until more complete fossils are uncovered can judgment be passed, but whether the variation among our ancestors is categorizable or not, the diversity demonstrates the flourishing and the success of the bipedal ape of the </w:t>
      </w:r>
      <w:proofErr w:type="spellStart"/>
      <w:r w:rsidR="00C63A1B">
        <w:rPr>
          <w:lang w:val="en-US"/>
        </w:rPr>
        <w:t>Plio</w:t>
      </w:r>
      <w:proofErr w:type="spellEnd"/>
      <w:r w:rsidR="00C63A1B">
        <w:rPr>
          <w:lang w:val="en-US"/>
        </w:rPr>
        <w:t>-Pleistocene.</w:t>
      </w:r>
    </w:p>
    <w:p w:rsidR="006556A0" w:rsidRDefault="006556A0" w:rsidP="001741D2">
      <w:pPr>
        <w:spacing w:line="480" w:lineRule="auto"/>
        <w:rPr>
          <w:lang w:val="en-US"/>
        </w:rPr>
      </w:pPr>
    </w:p>
    <w:sdt>
      <w:sdtPr>
        <w:rPr>
          <w:rFonts w:ascii="Times New Roman" w:eastAsiaTheme="minorHAnsi" w:hAnsi="Times New Roman" w:cstheme="minorBidi"/>
          <w:color w:val="auto"/>
          <w:sz w:val="24"/>
          <w:szCs w:val="22"/>
          <w:lang w:val="es-US"/>
        </w:rPr>
        <w:id w:val="776137119"/>
        <w:docPartObj>
          <w:docPartGallery w:val="Bibliographies"/>
          <w:docPartUnique/>
        </w:docPartObj>
      </w:sdtPr>
      <w:sdtEndPr>
        <w:rPr>
          <w:b/>
          <w:bCs/>
        </w:rPr>
      </w:sdtEndPr>
      <w:sdtContent>
        <w:p w:rsidR="006556A0" w:rsidRPr="001741D2" w:rsidRDefault="006556A0" w:rsidP="001741D2">
          <w:pPr>
            <w:pStyle w:val="Heading1"/>
            <w:spacing w:line="480" w:lineRule="auto"/>
            <w:rPr>
              <w:rFonts w:ascii="Times New Roman" w:hAnsi="Times New Roman" w:cs="Times New Roman"/>
              <w:b/>
              <w:color w:val="auto"/>
              <w:sz w:val="24"/>
              <w:szCs w:val="24"/>
            </w:rPr>
          </w:pPr>
          <w:r w:rsidRPr="001741D2">
            <w:rPr>
              <w:rFonts w:ascii="Times New Roman" w:hAnsi="Times New Roman" w:cs="Times New Roman"/>
              <w:b/>
              <w:color w:val="auto"/>
              <w:sz w:val="24"/>
              <w:szCs w:val="24"/>
            </w:rPr>
            <w:t>Works Cited</w:t>
          </w:r>
        </w:p>
        <w:p w:rsidR="001741D2" w:rsidRPr="001741D2" w:rsidRDefault="006556A0" w:rsidP="001741D2">
          <w:pPr>
            <w:pStyle w:val="Bibliography"/>
            <w:spacing w:line="480" w:lineRule="auto"/>
            <w:ind w:left="720" w:hanging="720"/>
            <w:rPr>
              <w:noProof/>
              <w:szCs w:val="24"/>
              <w:lang w:val="en-US"/>
            </w:rPr>
          </w:pPr>
          <w:r>
            <w:fldChar w:fldCharType="begin"/>
          </w:r>
          <w:r w:rsidRPr="006556A0">
            <w:rPr>
              <w:lang w:val="en-US"/>
            </w:rPr>
            <w:instrText xml:space="preserve"> BIBLIOGRAPHY </w:instrText>
          </w:r>
          <w:r>
            <w:fldChar w:fldCharType="separate"/>
          </w:r>
          <w:r w:rsidR="001741D2" w:rsidRPr="001741D2">
            <w:rPr>
              <w:noProof/>
              <w:lang w:val="en-US"/>
            </w:rPr>
            <w:t xml:space="preserve">Antón, S. C. (2012). Early Homo Who, When, and Where. </w:t>
          </w:r>
          <w:r w:rsidR="001741D2" w:rsidRPr="001741D2">
            <w:rPr>
              <w:i/>
              <w:iCs/>
              <w:noProof/>
              <w:lang w:val="en-US"/>
            </w:rPr>
            <w:t>Curr Anthropol, 53</w:t>
          </w:r>
          <w:r w:rsidR="001741D2" w:rsidRPr="001741D2">
            <w:rPr>
              <w:noProof/>
              <w:lang w:val="en-US"/>
            </w:rPr>
            <w:t>, S278-S298.</w:t>
          </w:r>
        </w:p>
        <w:p w:rsidR="001741D2" w:rsidRPr="001741D2" w:rsidRDefault="001741D2" w:rsidP="001741D2">
          <w:pPr>
            <w:pStyle w:val="Bibliography"/>
            <w:spacing w:line="480" w:lineRule="auto"/>
            <w:ind w:left="720" w:hanging="720"/>
            <w:rPr>
              <w:noProof/>
              <w:lang w:val="en-US"/>
            </w:rPr>
          </w:pPr>
          <w:r w:rsidRPr="001741D2">
            <w:rPr>
              <w:noProof/>
              <w:lang w:val="en-US"/>
            </w:rPr>
            <w:t xml:space="preserve">Day, M. H. (1977). The Koobi Fora Remains. In </w:t>
          </w:r>
          <w:r w:rsidRPr="001741D2">
            <w:rPr>
              <w:i/>
              <w:iCs/>
              <w:noProof/>
              <w:lang w:val="en-US"/>
            </w:rPr>
            <w:t>Guide to Fossil Man</w:t>
          </w:r>
          <w:r w:rsidRPr="001741D2">
            <w:rPr>
              <w:noProof/>
              <w:lang w:val="en-US"/>
            </w:rPr>
            <w:t xml:space="preserve"> (pp. 177-189). Chicago: University of Chicago Press.</w:t>
          </w:r>
        </w:p>
        <w:p w:rsidR="001741D2" w:rsidRPr="001741D2" w:rsidRDefault="001741D2" w:rsidP="001741D2">
          <w:pPr>
            <w:pStyle w:val="Bibliography"/>
            <w:spacing w:line="480" w:lineRule="auto"/>
            <w:ind w:left="720" w:hanging="720"/>
            <w:rPr>
              <w:noProof/>
              <w:lang w:val="en-US"/>
            </w:rPr>
          </w:pPr>
          <w:r w:rsidRPr="001741D2">
            <w:rPr>
              <w:noProof/>
              <w:lang w:val="en-US"/>
            </w:rPr>
            <w:t xml:space="preserve">Feibel, C. S., Lepre, C. J., &amp; Quinn, R. L. (2009). Stratigraphy, correlation, and age estimates for fossils from Area 123. </w:t>
          </w:r>
          <w:r w:rsidRPr="001741D2">
            <w:rPr>
              <w:i/>
              <w:iCs/>
              <w:noProof/>
              <w:lang w:val="en-US"/>
            </w:rPr>
            <w:t>J Hum Evol, 57</w:t>
          </w:r>
          <w:r w:rsidRPr="001741D2">
            <w:rPr>
              <w:noProof/>
              <w:lang w:val="en-US"/>
            </w:rPr>
            <w:t>, 112-122.</w:t>
          </w:r>
        </w:p>
        <w:p w:rsidR="001741D2" w:rsidRPr="001741D2" w:rsidRDefault="001741D2" w:rsidP="001741D2">
          <w:pPr>
            <w:pStyle w:val="Bibliography"/>
            <w:spacing w:line="480" w:lineRule="auto"/>
            <w:ind w:left="720" w:hanging="720"/>
            <w:rPr>
              <w:noProof/>
              <w:lang w:val="en-US"/>
            </w:rPr>
          </w:pPr>
          <w:r w:rsidRPr="001741D2">
            <w:rPr>
              <w:noProof/>
              <w:lang w:val="en-US"/>
            </w:rPr>
            <w:t xml:space="preserve">Ferguson, W. W. (1995). A New Species of the Genus Homo (Primates: Hominidae) from the Plio/Pleistocene of Koobi Fora, in Kenya. </w:t>
          </w:r>
          <w:r w:rsidRPr="001741D2">
            <w:rPr>
              <w:i/>
              <w:iCs/>
              <w:noProof/>
              <w:lang w:val="en-US"/>
            </w:rPr>
            <w:t>Primates, 36</w:t>
          </w:r>
          <w:r w:rsidRPr="001741D2">
            <w:rPr>
              <w:noProof/>
              <w:lang w:val="en-US"/>
            </w:rPr>
            <w:t>, 69-89.</w:t>
          </w:r>
        </w:p>
        <w:p w:rsidR="001741D2" w:rsidRPr="001741D2" w:rsidRDefault="001741D2" w:rsidP="001741D2">
          <w:pPr>
            <w:pStyle w:val="Bibliography"/>
            <w:spacing w:line="480" w:lineRule="auto"/>
            <w:ind w:left="720" w:hanging="720"/>
            <w:rPr>
              <w:noProof/>
              <w:lang w:val="en-US"/>
            </w:rPr>
          </w:pPr>
          <w:r w:rsidRPr="001741D2">
            <w:rPr>
              <w:noProof/>
              <w:lang w:val="en-US"/>
            </w:rPr>
            <w:t xml:space="preserve">Gathogo, P. N., &amp; Brown, F. H. (2006). Revised stratigraphy of Area 123, Koobi Fora, Kenya, and new age estimates of its fossil mammals, including hominins. </w:t>
          </w:r>
          <w:r w:rsidRPr="001741D2">
            <w:rPr>
              <w:i/>
              <w:iCs/>
              <w:noProof/>
              <w:lang w:val="en-US"/>
            </w:rPr>
            <w:t>J Hum Evol, 51</w:t>
          </w:r>
          <w:r w:rsidRPr="001741D2">
            <w:rPr>
              <w:noProof/>
              <w:lang w:val="en-US"/>
            </w:rPr>
            <w:t>, 471-479.</w:t>
          </w:r>
        </w:p>
        <w:p w:rsidR="001741D2" w:rsidRPr="001741D2" w:rsidRDefault="001741D2" w:rsidP="001741D2">
          <w:pPr>
            <w:pStyle w:val="Bibliography"/>
            <w:spacing w:line="480" w:lineRule="auto"/>
            <w:ind w:left="720" w:hanging="720"/>
            <w:rPr>
              <w:noProof/>
              <w:lang w:val="en-US"/>
            </w:rPr>
          </w:pPr>
          <w:r w:rsidRPr="001741D2">
            <w:rPr>
              <w:noProof/>
              <w:lang w:val="en-US"/>
            </w:rPr>
            <w:t xml:space="preserve">Johanson, D. C., Masao, F. T., Eck, G. G., White, T. D., Walter, R. C., Kimbel, W. H., . . . Suwa, G. (1987). New partial skeleton of Homo habilis from Olduvai Gorge, Tanzania. </w:t>
          </w:r>
          <w:r w:rsidRPr="001741D2">
            <w:rPr>
              <w:i/>
              <w:iCs/>
              <w:noProof/>
              <w:lang w:val="en-US"/>
            </w:rPr>
            <w:t>Nature, 327</w:t>
          </w:r>
          <w:r w:rsidRPr="001741D2">
            <w:rPr>
              <w:noProof/>
              <w:lang w:val="en-US"/>
            </w:rPr>
            <w:t>, 205-209.</w:t>
          </w:r>
        </w:p>
        <w:p w:rsidR="001741D2" w:rsidRPr="001741D2" w:rsidRDefault="001741D2" w:rsidP="001741D2">
          <w:pPr>
            <w:pStyle w:val="Bibliography"/>
            <w:spacing w:line="480" w:lineRule="auto"/>
            <w:ind w:left="720" w:hanging="720"/>
            <w:rPr>
              <w:noProof/>
              <w:lang w:val="en-US"/>
            </w:rPr>
          </w:pPr>
          <w:r w:rsidRPr="001741D2">
            <w:rPr>
              <w:noProof/>
              <w:lang w:val="en-US"/>
            </w:rPr>
            <w:t xml:space="preserve">Leakey, L. S., Tobias, P., &amp; Napier, J. (1964). A New Species of the Genus Homo from Olduvai Gorge. </w:t>
          </w:r>
          <w:r w:rsidRPr="001741D2">
            <w:rPr>
              <w:i/>
              <w:iCs/>
              <w:noProof/>
              <w:lang w:val="en-US"/>
            </w:rPr>
            <w:t>Nature, 202</w:t>
          </w:r>
          <w:r w:rsidRPr="001741D2">
            <w:rPr>
              <w:noProof/>
              <w:lang w:val="en-US"/>
            </w:rPr>
            <w:t>, 7-9.</w:t>
          </w:r>
        </w:p>
        <w:p w:rsidR="001741D2" w:rsidRPr="001741D2" w:rsidRDefault="001741D2" w:rsidP="001741D2">
          <w:pPr>
            <w:pStyle w:val="Bibliography"/>
            <w:spacing w:line="480" w:lineRule="auto"/>
            <w:ind w:left="720" w:hanging="720"/>
            <w:rPr>
              <w:noProof/>
              <w:lang w:val="en-US"/>
            </w:rPr>
          </w:pPr>
          <w:r w:rsidRPr="001741D2">
            <w:rPr>
              <w:noProof/>
              <w:lang w:val="en-US"/>
            </w:rPr>
            <w:t xml:space="preserve">Leakey, R. (1973). Evidence for an Advanced Plio-Pleistocene Hominid from East Rudolf, Kenya. </w:t>
          </w:r>
          <w:r w:rsidRPr="001741D2">
            <w:rPr>
              <w:i/>
              <w:iCs/>
              <w:noProof/>
              <w:lang w:val="en-US"/>
            </w:rPr>
            <w:t>Nature, 242</w:t>
          </w:r>
          <w:r w:rsidRPr="001741D2">
            <w:rPr>
              <w:noProof/>
              <w:lang w:val="en-US"/>
            </w:rPr>
            <w:t>, 447-450.</w:t>
          </w:r>
        </w:p>
        <w:p w:rsidR="001741D2" w:rsidRPr="001741D2" w:rsidRDefault="001741D2" w:rsidP="001741D2">
          <w:pPr>
            <w:pStyle w:val="Bibliography"/>
            <w:spacing w:line="480" w:lineRule="auto"/>
            <w:ind w:left="720" w:hanging="720"/>
            <w:rPr>
              <w:noProof/>
              <w:lang w:val="en-US"/>
            </w:rPr>
          </w:pPr>
          <w:r w:rsidRPr="001741D2">
            <w:rPr>
              <w:noProof/>
              <w:lang w:val="en-US"/>
            </w:rPr>
            <w:t xml:space="preserve">Leakey, R. (1974). Further evidence of Lower Pleistocene hominids from East Rudolf, North Kenya, 1973. </w:t>
          </w:r>
          <w:r w:rsidRPr="001741D2">
            <w:rPr>
              <w:i/>
              <w:iCs/>
              <w:noProof/>
              <w:lang w:val="en-US"/>
            </w:rPr>
            <w:t>Nature, 248</w:t>
          </w:r>
          <w:r w:rsidRPr="001741D2">
            <w:rPr>
              <w:noProof/>
              <w:lang w:val="en-US"/>
            </w:rPr>
            <w:t>, 653-656.</w:t>
          </w:r>
        </w:p>
        <w:p w:rsidR="001741D2" w:rsidRPr="001741D2" w:rsidRDefault="001741D2" w:rsidP="001741D2">
          <w:pPr>
            <w:pStyle w:val="Bibliography"/>
            <w:spacing w:line="480" w:lineRule="auto"/>
            <w:ind w:left="720" w:hanging="720"/>
            <w:rPr>
              <w:noProof/>
              <w:lang w:val="en-US"/>
            </w:rPr>
          </w:pPr>
          <w:r w:rsidRPr="001741D2">
            <w:rPr>
              <w:noProof/>
              <w:lang w:val="en-US"/>
            </w:rPr>
            <w:t xml:space="preserve">Lewin, R. (1987). The Earliest "Humans" Were More like Apes. </w:t>
          </w:r>
          <w:r w:rsidRPr="001741D2">
            <w:rPr>
              <w:i/>
              <w:iCs/>
              <w:noProof/>
              <w:lang w:val="en-US"/>
            </w:rPr>
            <w:t>Science, 236</w:t>
          </w:r>
          <w:r w:rsidRPr="001741D2">
            <w:rPr>
              <w:noProof/>
              <w:lang w:val="en-US"/>
            </w:rPr>
            <w:t>, 1061-1063.</w:t>
          </w:r>
        </w:p>
        <w:p w:rsidR="001741D2" w:rsidRPr="001741D2" w:rsidRDefault="001741D2" w:rsidP="001741D2">
          <w:pPr>
            <w:pStyle w:val="Bibliography"/>
            <w:spacing w:line="480" w:lineRule="auto"/>
            <w:ind w:left="720" w:hanging="720"/>
            <w:rPr>
              <w:noProof/>
              <w:lang w:val="en-US"/>
            </w:rPr>
          </w:pPr>
          <w:r w:rsidRPr="001741D2">
            <w:rPr>
              <w:noProof/>
              <w:lang w:val="en-US"/>
            </w:rPr>
            <w:lastRenderedPageBreak/>
            <w:t xml:space="preserve">Lieberman, D. E., Pilbeam, D. R., &amp; Wood, B. A. (1988). A probabilistic approach to the problem of sexual dimporphism in Homo habilis: a comparison of KNM-ER 1470 and KNM-ER 1813. </w:t>
          </w:r>
          <w:r w:rsidRPr="001741D2">
            <w:rPr>
              <w:i/>
              <w:iCs/>
              <w:noProof/>
              <w:lang w:val="en-US"/>
            </w:rPr>
            <w:t>J Hum Evol, 17</w:t>
          </w:r>
          <w:r w:rsidRPr="001741D2">
            <w:rPr>
              <w:noProof/>
              <w:lang w:val="en-US"/>
            </w:rPr>
            <w:t>, 503-511.</w:t>
          </w:r>
        </w:p>
        <w:p w:rsidR="001741D2" w:rsidRPr="001741D2" w:rsidRDefault="001741D2" w:rsidP="001741D2">
          <w:pPr>
            <w:pStyle w:val="Bibliography"/>
            <w:spacing w:line="480" w:lineRule="auto"/>
            <w:ind w:left="720" w:hanging="720"/>
            <w:rPr>
              <w:noProof/>
              <w:lang w:val="en-US"/>
            </w:rPr>
          </w:pPr>
          <w:r w:rsidRPr="001741D2">
            <w:rPr>
              <w:noProof/>
              <w:lang w:val="en-US"/>
            </w:rPr>
            <w:t xml:space="preserve">Lockwood, C. A. (1999). Sexual Dimorphism in the Face of Australopithecus africanus. </w:t>
          </w:r>
          <w:r w:rsidRPr="001741D2">
            <w:rPr>
              <w:i/>
              <w:iCs/>
              <w:noProof/>
              <w:lang w:val="en-US"/>
            </w:rPr>
            <w:t>Am J Phys Anthropol, 108</w:t>
          </w:r>
          <w:r w:rsidRPr="001741D2">
            <w:rPr>
              <w:noProof/>
              <w:lang w:val="en-US"/>
            </w:rPr>
            <w:t>, 97-127.</w:t>
          </w:r>
        </w:p>
        <w:p w:rsidR="001741D2" w:rsidRPr="001741D2" w:rsidRDefault="001741D2" w:rsidP="001741D2">
          <w:pPr>
            <w:pStyle w:val="Bibliography"/>
            <w:spacing w:line="480" w:lineRule="auto"/>
            <w:ind w:left="720" w:hanging="720"/>
            <w:rPr>
              <w:noProof/>
              <w:lang w:val="en-US"/>
            </w:rPr>
          </w:pPr>
          <w:r w:rsidRPr="001741D2">
            <w:rPr>
              <w:noProof/>
              <w:lang w:val="en-US"/>
            </w:rPr>
            <w:t xml:space="preserve">Lordipanidze, D., Ponce de Léon, M. S., Margvelashvili, A., Rak, Y., Rightmire, G. P., Vekua, A., &amp; Zollikofer, C. P. (2013). A Complete Skull from Dmanisi, Georgia, and the Evolutionary Biology of Early Homo. </w:t>
          </w:r>
          <w:r w:rsidRPr="001741D2">
            <w:rPr>
              <w:i/>
              <w:iCs/>
              <w:noProof/>
              <w:lang w:val="en-US"/>
            </w:rPr>
            <w:t>Science, 342</w:t>
          </w:r>
          <w:r w:rsidRPr="001741D2">
            <w:rPr>
              <w:noProof/>
              <w:lang w:val="en-US"/>
            </w:rPr>
            <w:t>, 326-311.</w:t>
          </w:r>
        </w:p>
        <w:p w:rsidR="001741D2" w:rsidRPr="001741D2" w:rsidRDefault="001741D2" w:rsidP="001741D2">
          <w:pPr>
            <w:pStyle w:val="Bibliography"/>
            <w:spacing w:line="480" w:lineRule="auto"/>
            <w:ind w:left="720" w:hanging="720"/>
            <w:rPr>
              <w:noProof/>
              <w:lang w:val="en-US"/>
            </w:rPr>
          </w:pPr>
          <w:r w:rsidRPr="001741D2">
            <w:rPr>
              <w:noProof/>
              <w:lang w:val="en-US"/>
            </w:rPr>
            <w:t xml:space="preserve">van Arsdale, A. P., &amp; Wolpoff, M. H. (2013). A Single Lineage in Early Pleistocene Homo: Size Variation Continuity in Early Pleistocene Homo Crania from East Africa and Georgia. </w:t>
          </w:r>
          <w:r w:rsidRPr="001741D2">
            <w:rPr>
              <w:i/>
              <w:iCs/>
              <w:noProof/>
              <w:lang w:val="en-US"/>
            </w:rPr>
            <w:t>Evolution, 67</w:t>
          </w:r>
          <w:r w:rsidRPr="001741D2">
            <w:rPr>
              <w:noProof/>
              <w:lang w:val="en-US"/>
            </w:rPr>
            <w:t>, 841-850.</w:t>
          </w:r>
        </w:p>
        <w:p w:rsidR="001741D2" w:rsidRPr="001741D2" w:rsidRDefault="001741D2" w:rsidP="001741D2">
          <w:pPr>
            <w:pStyle w:val="Bibliography"/>
            <w:spacing w:line="480" w:lineRule="auto"/>
            <w:ind w:left="720" w:hanging="720"/>
            <w:rPr>
              <w:noProof/>
              <w:lang w:val="en-US"/>
            </w:rPr>
          </w:pPr>
          <w:r w:rsidRPr="001741D2">
            <w:rPr>
              <w:noProof/>
              <w:lang w:val="en-US"/>
            </w:rPr>
            <w:t xml:space="preserve">Walker, A. (1976). Remains Attributable to Australopithecus in the East Rudolf Succession. In Y. Coppens, G. Howell, L. Isaac, &amp; R. Leakey (Eds.), </w:t>
          </w:r>
          <w:r w:rsidRPr="001741D2">
            <w:rPr>
              <w:i/>
              <w:iCs/>
              <w:noProof/>
              <w:lang w:val="en-US"/>
            </w:rPr>
            <w:t>Earliest Man and Environments in the Lake Rudolf Basin</w:t>
          </w:r>
          <w:r w:rsidRPr="001741D2">
            <w:rPr>
              <w:noProof/>
              <w:lang w:val="en-US"/>
            </w:rPr>
            <w:t xml:space="preserve"> (pp. 484-489). Chicago: University of Chicago Press.</w:t>
          </w:r>
        </w:p>
        <w:p w:rsidR="001741D2" w:rsidRPr="001741D2" w:rsidRDefault="001741D2" w:rsidP="001741D2">
          <w:pPr>
            <w:pStyle w:val="Bibliography"/>
            <w:spacing w:line="480" w:lineRule="auto"/>
            <w:ind w:left="720" w:hanging="720"/>
            <w:rPr>
              <w:noProof/>
              <w:lang w:val="en-US"/>
            </w:rPr>
          </w:pPr>
          <w:r w:rsidRPr="001741D2">
            <w:rPr>
              <w:noProof/>
              <w:lang w:val="en-US"/>
            </w:rPr>
            <w:t xml:space="preserve">Wood, B. (1992). Origin and evolution of the genus Homo. </w:t>
          </w:r>
          <w:r w:rsidRPr="001741D2">
            <w:rPr>
              <w:i/>
              <w:iCs/>
              <w:noProof/>
              <w:lang w:val="en-US"/>
            </w:rPr>
            <w:t>Nature, 355</w:t>
          </w:r>
          <w:r w:rsidRPr="001741D2">
            <w:rPr>
              <w:noProof/>
              <w:lang w:val="en-US"/>
            </w:rPr>
            <w:t>, 783-790.</w:t>
          </w:r>
        </w:p>
        <w:p w:rsidR="001741D2" w:rsidRDefault="001741D2" w:rsidP="001741D2">
          <w:pPr>
            <w:pStyle w:val="Bibliography"/>
            <w:spacing w:line="480" w:lineRule="auto"/>
            <w:ind w:left="720" w:hanging="720"/>
            <w:rPr>
              <w:noProof/>
            </w:rPr>
          </w:pPr>
          <w:r w:rsidRPr="001741D2">
            <w:rPr>
              <w:noProof/>
              <w:lang w:val="en-US"/>
            </w:rPr>
            <w:t xml:space="preserve">Wood, B. (2016). Homo - What, Who, When, Where? </w:t>
          </w:r>
          <w:r w:rsidRPr="001741D2">
            <w:rPr>
              <w:i/>
              <w:iCs/>
              <w:noProof/>
              <w:lang w:val="en-US"/>
            </w:rPr>
            <w:t>Origins of the Genus Homo</w:t>
          </w:r>
          <w:r w:rsidRPr="001741D2">
            <w:rPr>
              <w:noProof/>
              <w:lang w:val="en-US"/>
            </w:rPr>
            <w:t xml:space="preserve">. </w:t>
          </w:r>
          <w:r>
            <w:rPr>
              <w:noProof/>
            </w:rPr>
            <w:t>CARTA.</w:t>
          </w:r>
        </w:p>
        <w:p w:rsidR="006556A0" w:rsidRDefault="006556A0" w:rsidP="001741D2">
          <w:pPr>
            <w:spacing w:line="480" w:lineRule="auto"/>
          </w:pPr>
          <w:r>
            <w:rPr>
              <w:b/>
              <w:bCs/>
            </w:rPr>
            <w:fldChar w:fldCharType="end"/>
          </w:r>
        </w:p>
      </w:sdtContent>
    </w:sdt>
    <w:p w:rsidR="006556A0" w:rsidRPr="006556A0" w:rsidRDefault="006556A0" w:rsidP="001741D2">
      <w:pPr>
        <w:spacing w:line="480" w:lineRule="auto"/>
        <w:rPr>
          <w:lang w:val="en-US"/>
        </w:rPr>
      </w:pPr>
    </w:p>
    <w:sectPr w:rsidR="006556A0" w:rsidRPr="006556A0" w:rsidSect="00FD7E67">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F11F9" w:rsidRDefault="00EF11F9" w:rsidP="00FD7E67">
      <w:pPr>
        <w:spacing w:after="0"/>
      </w:pPr>
      <w:r>
        <w:separator/>
      </w:r>
    </w:p>
  </w:endnote>
  <w:endnote w:type="continuationSeparator" w:id="0">
    <w:p w:rsidR="00EF11F9" w:rsidRDefault="00EF11F9" w:rsidP="00FD7E67">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3C80" w:rsidRDefault="00CB3C8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3C80" w:rsidRDefault="00CB3C8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3C80" w:rsidRDefault="00CB3C8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F11F9" w:rsidRDefault="00EF11F9" w:rsidP="00FD7E67">
      <w:pPr>
        <w:spacing w:after="0"/>
      </w:pPr>
      <w:r>
        <w:separator/>
      </w:r>
    </w:p>
  </w:footnote>
  <w:footnote w:type="continuationSeparator" w:id="0">
    <w:p w:rsidR="00EF11F9" w:rsidRDefault="00EF11F9" w:rsidP="00FD7E67">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3C80" w:rsidRDefault="00CB3C8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3C80" w:rsidRDefault="00CB3C80" w:rsidP="00CB3C80">
    <w:pPr>
      <w:jc w:val="center"/>
      <w:rPr>
        <w:lang w:val="en-US"/>
      </w:rPr>
    </w:pPr>
    <w:r>
      <w:rPr>
        <w:lang w:val="en-US"/>
      </w:rPr>
      <w:t>A Profile of KNM-ER 1813: The State of Early Homo from the Specimen’s Perspective</w:t>
    </w:r>
    <w:bookmarkStart w:id="0" w:name="_GoBack"/>
    <w:bookmarkEnd w:id="0"/>
  </w:p>
  <w:sdt>
    <w:sdtPr>
      <w:id w:val="1926678589"/>
      <w:docPartObj>
        <w:docPartGallery w:val="Page Numbers (Top of Page)"/>
        <w:docPartUnique/>
      </w:docPartObj>
    </w:sdtPr>
    <w:sdtEndPr>
      <w:rPr>
        <w:noProof/>
      </w:rPr>
    </w:sdtEndPr>
    <w:sdtContent>
      <w:p w:rsidR="00CB3C80" w:rsidRDefault="00CB3C80">
        <w:pPr>
          <w:pStyle w:val="Header"/>
          <w:jc w:val="right"/>
        </w:pPr>
        <w:r>
          <w:fldChar w:fldCharType="begin"/>
        </w:r>
        <w:r>
          <w:instrText xml:space="preserve"> PAGE   \* MERGEFORMAT </w:instrText>
        </w:r>
        <w:r>
          <w:fldChar w:fldCharType="separate"/>
        </w:r>
        <w:r>
          <w:rPr>
            <w:noProof/>
          </w:rPr>
          <w:t>1</w:t>
        </w:r>
        <w:r>
          <w:rPr>
            <w:noProof/>
          </w:rPr>
          <w:fldChar w:fldCharType="end"/>
        </w:r>
      </w:p>
    </w:sdtContent>
  </w:sdt>
  <w:p w:rsidR="00FD7E67" w:rsidRPr="00CB3C80" w:rsidRDefault="00FD7E67">
    <w:pPr>
      <w:pStyle w:val="Header"/>
      <w:rPr>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85159773"/>
      <w:docPartObj>
        <w:docPartGallery w:val="Page Numbers (Top of Page)"/>
        <w:docPartUnique/>
      </w:docPartObj>
    </w:sdtPr>
    <w:sdtEndPr>
      <w:rPr>
        <w:noProof/>
      </w:rPr>
    </w:sdtEndPr>
    <w:sdtContent>
      <w:p w:rsidR="00FD7E67" w:rsidRDefault="00EF11F9">
        <w:pPr>
          <w:pStyle w:val="Header"/>
          <w:jc w:val="right"/>
        </w:pPr>
      </w:p>
    </w:sdtContent>
  </w:sdt>
  <w:p w:rsidR="00FD7E67" w:rsidRDefault="00FD7E67">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76B5"/>
    <w:rsid w:val="00006643"/>
    <w:rsid w:val="000116DD"/>
    <w:rsid w:val="00033749"/>
    <w:rsid w:val="0003523C"/>
    <w:rsid w:val="00073673"/>
    <w:rsid w:val="0009626C"/>
    <w:rsid w:val="000B4303"/>
    <w:rsid w:val="000D5B76"/>
    <w:rsid w:val="00103E4D"/>
    <w:rsid w:val="00173C88"/>
    <w:rsid w:val="001741D2"/>
    <w:rsid w:val="00186C11"/>
    <w:rsid w:val="00196243"/>
    <w:rsid w:val="0025151B"/>
    <w:rsid w:val="00273267"/>
    <w:rsid w:val="002E0C32"/>
    <w:rsid w:val="002E3C7E"/>
    <w:rsid w:val="003C5CA2"/>
    <w:rsid w:val="003E4963"/>
    <w:rsid w:val="00402840"/>
    <w:rsid w:val="00415884"/>
    <w:rsid w:val="004949B8"/>
    <w:rsid w:val="004975E1"/>
    <w:rsid w:val="004D70F1"/>
    <w:rsid w:val="004F2A0E"/>
    <w:rsid w:val="00525541"/>
    <w:rsid w:val="00546A83"/>
    <w:rsid w:val="005B5B04"/>
    <w:rsid w:val="005C38CF"/>
    <w:rsid w:val="005D0013"/>
    <w:rsid w:val="005D4C7D"/>
    <w:rsid w:val="00653605"/>
    <w:rsid w:val="006556A0"/>
    <w:rsid w:val="00681333"/>
    <w:rsid w:val="006D7715"/>
    <w:rsid w:val="00704DCA"/>
    <w:rsid w:val="00745A16"/>
    <w:rsid w:val="007654A5"/>
    <w:rsid w:val="00793374"/>
    <w:rsid w:val="007A7104"/>
    <w:rsid w:val="007B76B5"/>
    <w:rsid w:val="007C739F"/>
    <w:rsid w:val="00821923"/>
    <w:rsid w:val="008830A5"/>
    <w:rsid w:val="008D1570"/>
    <w:rsid w:val="00953BA2"/>
    <w:rsid w:val="009809CE"/>
    <w:rsid w:val="009E5235"/>
    <w:rsid w:val="009E560A"/>
    <w:rsid w:val="00A578E9"/>
    <w:rsid w:val="00A61673"/>
    <w:rsid w:val="00A905C0"/>
    <w:rsid w:val="00AA678B"/>
    <w:rsid w:val="00AB7498"/>
    <w:rsid w:val="00B278E8"/>
    <w:rsid w:val="00B40AC4"/>
    <w:rsid w:val="00B43EC1"/>
    <w:rsid w:val="00B64454"/>
    <w:rsid w:val="00B92565"/>
    <w:rsid w:val="00BA67B5"/>
    <w:rsid w:val="00BD0B47"/>
    <w:rsid w:val="00C277F8"/>
    <w:rsid w:val="00C41465"/>
    <w:rsid w:val="00C63A1B"/>
    <w:rsid w:val="00C86984"/>
    <w:rsid w:val="00C96EC5"/>
    <w:rsid w:val="00CB3020"/>
    <w:rsid w:val="00CB3C80"/>
    <w:rsid w:val="00D825F8"/>
    <w:rsid w:val="00D9086E"/>
    <w:rsid w:val="00D9202A"/>
    <w:rsid w:val="00DB6A6E"/>
    <w:rsid w:val="00DD2749"/>
    <w:rsid w:val="00E52D65"/>
    <w:rsid w:val="00E70D61"/>
    <w:rsid w:val="00E947B8"/>
    <w:rsid w:val="00E96133"/>
    <w:rsid w:val="00EC4444"/>
    <w:rsid w:val="00ED61DC"/>
    <w:rsid w:val="00EE7C0E"/>
    <w:rsid w:val="00EF11F9"/>
    <w:rsid w:val="00FA0234"/>
    <w:rsid w:val="00FD7E6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2C69F7"/>
  <w15:chartTrackingRefBased/>
  <w15:docId w15:val="{52D88AD8-C4B2-4B07-9A2C-9C2722FFDA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186C11"/>
    <w:pPr>
      <w:spacing w:after="40" w:line="240" w:lineRule="auto"/>
      <w:jc w:val="both"/>
    </w:pPr>
    <w:rPr>
      <w:rFonts w:ascii="Times New Roman" w:hAnsi="Times New Roman"/>
      <w:sz w:val="24"/>
      <w:lang w:val="es-US"/>
    </w:rPr>
  </w:style>
  <w:style w:type="paragraph" w:styleId="Heading1">
    <w:name w:val="heading 1"/>
    <w:basedOn w:val="Normal"/>
    <w:next w:val="Normal"/>
    <w:link w:val="Heading1Char"/>
    <w:uiPriority w:val="9"/>
    <w:qFormat/>
    <w:rsid w:val="006556A0"/>
    <w:pPr>
      <w:keepNext/>
      <w:keepLines/>
      <w:spacing w:before="240" w:after="0" w:line="259" w:lineRule="auto"/>
      <w:jc w:val="left"/>
      <w:outlineLvl w:val="0"/>
    </w:pPr>
    <w:rPr>
      <w:rFonts w:asciiTheme="majorHAnsi" w:eastAsiaTheme="majorEastAsia" w:hAnsiTheme="majorHAnsi" w:cstheme="majorBidi"/>
      <w:color w:val="2F5496" w:themeColor="accent1" w:themeShade="BF"/>
      <w:sz w:val="32"/>
      <w:szCs w:val="3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uiPriority w:val="35"/>
    <w:unhideWhenUsed/>
    <w:qFormat/>
    <w:rsid w:val="00821923"/>
    <w:pPr>
      <w:spacing w:after="200"/>
    </w:pPr>
    <w:rPr>
      <w:i/>
      <w:iCs/>
      <w:color w:val="44546A" w:themeColor="text2"/>
      <w:sz w:val="18"/>
      <w:szCs w:val="18"/>
    </w:rPr>
  </w:style>
  <w:style w:type="character" w:customStyle="1" w:styleId="Heading1Char">
    <w:name w:val="Heading 1 Char"/>
    <w:basedOn w:val="DefaultParagraphFont"/>
    <w:link w:val="Heading1"/>
    <w:uiPriority w:val="9"/>
    <w:rsid w:val="006556A0"/>
    <w:rPr>
      <w:rFonts w:asciiTheme="majorHAnsi" w:eastAsiaTheme="majorEastAsia" w:hAnsiTheme="majorHAnsi" w:cstheme="majorBidi"/>
      <w:color w:val="2F5496" w:themeColor="accent1" w:themeShade="BF"/>
      <w:sz w:val="32"/>
      <w:szCs w:val="32"/>
    </w:rPr>
  </w:style>
  <w:style w:type="paragraph" w:styleId="Bibliography">
    <w:name w:val="Bibliography"/>
    <w:basedOn w:val="Normal"/>
    <w:next w:val="Normal"/>
    <w:uiPriority w:val="37"/>
    <w:unhideWhenUsed/>
    <w:rsid w:val="006556A0"/>
  </w:style>
  <w:style w:type="paragraph" w:styleId="Header">
    <w:name w:val="header"/>
    <w:basedOn w:val="Normal"/>
    <w:link w:val="HeaderChar"/>
    <w:uiPriority w:val="99"/>
    <w:unhideWhenUsed/>
    <w:rsid w:val="00FD7E67"/>
    <w:pPr>
      <w:tabs>
        <w:tab w:val="center" w:pos="4680"/>
        <w:tab w:val="right" w:pos="9360"/>
      </w:tabs>
      <w:spacing w:after="0"/>
    </w:pPr>
  </w:style>
  <w:style w:type="character" w:customStyle="1" w:styleId="HeaderChar">
    <w:name w:val="Header Char"/>
    <w:basedOn w:val="DefaultParagraphFont"/>
    <w:link w:val="Header"/>
    <w:uiPriority w:val="99"/>
    <w:rsid w:val="00FD7E67"/>
    <w:rPr>
      <w:rFonts w:ascii="Times New Roman" w:hAnsi="Times New Roman"/>
      <w:sz w:val="24"/>
      <w:lang w:val="es-US"/>
    </w:rPr>
  </w:style>
  <w:style w:type="paragraph" w:styleId="Footer">
    <w:name w:val="footer"/>
    <w:basedOn w:val="Normal"/>
    <w:link w:val="FooterChar"/>
    <w:uiPriority w:val="99"/>
    <w:unhideWhenUsed/>
    <w:rsid w:val="00FD7E67"/>
    <w:pPr>
      <w:tabs>
        <w:tab w:val="center" w:pos="4680"/>
        <w:tab w:val="right" w:pos="9360"/>
      </w:tabs>
      <w:spacing w:after="0"/>
    </w:pPr>
  </w:style>
  <w:style w:type="character" w:customStyle="1" w:styleId="FooterChar">
    <w:name w:val="Footer Char"/>
    <w:basedOn w:val="DefaultParagraphFont"/>
    <w:link w:val="Footer"/>
    <w:uiPriority w:val="99"/>
    <w:rsid w:val="00FD7E67"/>
    <w:rPr>
      <w:rFonts w:ascii="Times New Roman" w:hAnsi="Times New Roman"/>
      <w:sz w:val="24"/>
      <w:lang w:val="es-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51193">
      <w:bodyDiv w:val="1"/>
      <w:marLeft w:val="0"/>
      <w:marRight w:val="0"/>
      <w:marTop w:val="0"/>
      <w:marBottom w:val="0"/>
      <w:divBdr>
        <w:top w:val="none" w:sz="0" w:space="0" w:color="auto"/>
        <w:left w:val="none" w:sz="0" w:space="0" w:color="auto"/>
        <w:bottom w:val="none" w:sz="0" w:space="0" w:color="auto"/>
        <w:right w:val="none" w:sz="0" w:space="0" w:color="auto"/>
      </w:divBdr>
    </w:div>
    <w:div w:id="12462369">
      <w:bodyDiv w:val="1"/>
      <w:marLeft w:val="0"/>
      <w:marRight w:val="0"/>
      <w:marTop w:val="0"/>
      <w:marBottom w:val="0"/>
      <w:divBdr>
        <w:top w:val="none" w:sz="0" w:space="0" w:color="auto"/>
        <w:left w:val="none" w:sz="0" w:space="0" w:color="auto"/>
        <w:bottom w:val="none" w:sz="0" w:space="0" w:color="auto"/>
        <w:right w:val="none" w:sz="0" w:space="0" w:color="auto"/>
      </w:divBdr>
    </w:div>
    <w:div w:id="42604445">
      <w:bodyDiv w:val="1"/>
      <w:marLeft w:val="0"/>
      <w:marRight w:val="0"/>
      <w:marTop w:val="0"/>
      <w:marBottom w:val="0"/>
      <w:divBdr>
        <w:top w:val="none" w:sz="0" w:space="0" w:color="auto"/>
        <w:left w:val="none" w:sz="0" w:space="0" w:color="auto"/>
        <w:bottom w:val="none" w:sz="0" w:space="0" w:color="auto"/>
        <w:right w:val="none" w:sz="0" w:space="0" w:color="auto"/>
      </w:divBdr>
    </w:div>
    <w:div w:id="52894659">
      <w:bodyDiv w:val="1"/>
      <w:marLeft w:val="0"/>
      <w:marRight w:val="0"/>
      <w:marTop w:val="0"/>
      <w:marBottom w:val="0"/>
      <w:divBdr>
        <w:top w:val="none" w:sz="0" w:space="0" w:color="auto"/>
        <w:left w:val="none" w:sz="0" w:space="0" w:color="auto"/>
        <w:bottom w:val="none" w:sz="0" w:space="0" w:color="auto"/>
        <w:right w:val="none" w:sz="0" w:space="0" w:color="auto"/>
      </w:divBdr>
    </w:div>
    <w:div w:id="59448681">
      <w:bodyDiv w:val="1"/>
      <w:marLeft w:val="0"/>
      <w:marRight w:val="0"/>
      <w:marTop w:val="0"/>
      <w:marBottom w:val="0"/>
      <w:divBdr>
        <w:top w:val="none" w:sz="0" w:space="0" w:color="auto"/>
        <w:left w:val="none" w:sz="0" w:space="0" w:color="auto"/>
        <w:bottom w:val="none" w:sz="0" w:space="0" w:color="auto"/>
        <w:right w:val="none" w:sz="0" w:space="0" w:color="auto"/>
      </w:divBdr>
    </w:div>
    <w:div w:id="83114594">
      <w:bodyDiv w:val="1"/>
      <w:marLeft w:val="0"/>
      <w:marRight w:val="0"/>
      <w:marTop w:val="0"/>
      <w:marBottom w:val="0"/>
      <w:divBdr>
        <w:top w:val="none" w:sz="0" w:space="0" w:color="auto"/>
        <w:left w:val="none" w:sz="0" w:space="0" w:color="auto"/>
        <w:bottom w:val="none" w:sz="0" w:space="0" w:color="auto"/>
        <w:right w:val="none" w:sz="0" w:space="0" w:color="auto"/>
      </w:divBdr>
    </w:div>
    <w:div w:id="87311514">
      <w:bodyDiv w:val="1"/>
      <w:marLeft w:val="0"/>
      <w:marRight w:val="0"/>
      <w:marTop w:val="0"/>
      <w:marBottom w:val="0"/>
      <w:divBdr>
        <w:top w:val="none" w:sz="0" w:space="0" w:color="auto"/>
        <w:left w:val="none" w:sz="0" w:space="0" w:color="auto"/>
        <w:bottom w:val="none" w:sz="0" w:space="0" w:color="auto"/>
        <w:right w:val="none" w:sz="0" w:space="0" w:color="auto"/>
      </w:divBdr>
    </w:div>
    <w:div w:id="106899704">
      <w:bodyDiv w:val="1"/>
      <w:marLeft w:val="0"/>
      <w:marRight w:val="0"/>
      <w:marTop w:val="0"/>
      <w:marBottom w:val="0"/>
      <w:divBdr>
        <w:top w:val="none" w:sz="0" w:space="0" w:color="auto"/>
        <w:left w:val="none" w:sz="0" w:space="0" w:color="auto"/>
        <w:bottom w:val="none" w:sz="0" w:space="0" w:color="auto"/>
        <w:right w:val="none" w:sz="0" w:space="0" w:color="auto"/>
      </w:divBdr>
    </w:div>
    <w:div w:id="143399255">
      <w:bodyDiv w:val="1"/>
      <w:marLeft w:val="0"/>
      <w:marRight w:val="0"/>
      <w:marTop w:val="0"/>
      <w:marBottom w:val="0"/>
      <w:divBdr>
        <w:top w:val="none" w:sz="0" w:space="0" w:color="auto"/>
        <w:left w:val="none" w:sz="0" w:space="0" w:color="auto"/>
        <w:bottom w:val="none" w:sz="0" w:space="0" w:color="auto"/>
        <w:right w:val="none" w:sz="0" w:space="0" w:color="auto"/>
      </w:divBdr>
    </w:div>
    <w:div w:id="147944379">
      <w:bodyDiv w:val="1"/>
      <w:marLeft w:val="0"/>
      <w:marRight w:val="0"/>
      <w:marTop w:val="0"/>
      <w:marBottom w:val="0"/>
      <w:divBdr>
        <w:top w:val="none" w:sz="0" w:space="0" w:color="auto"/>
        <w:left w:val="none" w:sz="0" w:space="0" w:color="auto"/>
        <w:bottom w:val="none" w:sz="0" w:space="0" w:color="auto"/>
        <w:right w:val="none" w:sz="0" w:space="0" w:color="auto"/>
      </w:divBdr>
    </w:div>
    <w:div w:id="151063285">
      <w:bodyDiv w:val="1"/>
      <w:marLeft w:val="0"/>
      <w:marRight w:val="0"/>
      <w:marTop w:val="0"/>
      <w:marBottom w:val="0"/>
      <w:divBdr>
        <w:top w:val="none" w:sz="0" w:space="0" w:color="auto"/>
        <w:left w:val="none" w:sz="0" w:space="0" w:color="auto"/>
        <w:bottom w:val="none" w:sz="0" w:space="0" w:color="auto"/>
        <w:right w:val="none" w:sz="0" w:space="0" w:color="auto"/>
      </w:divBdr>
    </w:div>
    <w:div w:id="172915577">
      <w:bodyDiv w:val="1"/>
      <w:marLeft w:val="0"/>
      <w:marRight w:val="0"/>
      <w:marTop w:val="0"/>
      <w:marBottom w:val="0"/>
      <w:divBdr>
        <w:top w:val="none" w:sz="0" w:space="0" w:color="auto"/>
        <w:left w:val="none" w:sz="0" w:space="0" w:color="auto"/>
        <w:bottom w:val="none" w:sz="0" w:space="0" w:color="auto"/>
        <w:right w:val="none" w:sz="0" w:space="0" w:color="auto"/>
      </w:divBdr>
    </w:div>
    <w:div w:id="201291020">
      <w:bodyDiv w:val="1"/>
      <w:marLeft w:val="0"/>
      <w:marRight w:val="0"/>
      <w:marTop w:val="0"/>
      <w:marBottom w:val="0"/>
      <w:divBdr>
        <w:top w:val="none" w:sz="0" w:space="0" w:color="auto"/>
        <w:left w:val="none" w:sz="0" w:space="0" w:color="auto"/>
        <w:bottom w:val="none" w:sz="0" w:space="0" w:color="auto"/>
        <w:right w:val="none" w:sz="0" w:space="0" w:color="auto"/>
      </w:divBdr>
    </w:div>
    <w:div w:id="201673052">
      <w:bodyDiv w:val="1"/>
      <w:marLeft w:val="0"/>
      <w:marRight w:val="0"/>
      <w:marTop w:val="0"/>
      <w:marBottom w:val="0"/>
      <w:divBdr>
        <w:top w:val="none" w:sz="0" w:space="0" w:color="auto"/>
        <w:left w:val="none" w:sz="0" w:space="0" w:color="auto"/>
        <w:bottom w:val="none" w:sz="0" w:space="0" w:color="auto"/>
        <w:right w:val="none" w:sz="0" w:space="0" w:color="auto"/>
      </w:divBdr>
    </w:div>
    <w:div w:id="215052599">
      <w:bodyDiv w:val="1"/>
      <w:marLeft w:val="0"/>
      <w:marRight w:val="0"/>
      <w:marTop w:val="0"/>
      <w:marBottom w:val="0"/>
      <w:divBdr>
        <w:top w:val="none" w:sz="0" w:space="0" w:color="auto"/>
        <w:left w:val="none" w:sz="0" w:space="0" w:color="auto"/>
        <w:bottom w:val="none" w:sz="0" w:space="0" w:color="auto"/>
        <w:right w:val="none" w:sz="0" w:space="0" w:color="auto"/>
      </w:divBdr>
    </w:div>
    <w:div w:id="218708527">
      <w:bodyDiv w:val="1"/>
      <w:marLeft w:val="0"/>
      <w:marRight w:val="0"/>
      <w:marTop w:val="0"/>
      <w:marBottom w:val="0"/>
      <w:divBdr>
        <w:top w:val="none" w:sz="0" w:space="0" w:color="auto"/>
        <w:left w:val="none" w:sz="0" w:space="0" w:color="auto"/>
        <w:bottom w:val="none" w:sz="0" w:space="0" w:color="auto"/>
        <w:right w:val="none" w:sz="0" w:space="0" w:color="auto"/>
      </w:divBdr>
    </w:div>
    <w:div w:id="224221909">
      <w:bodyDiv w:val="1"/>
      <w:marLeft w:val="0"/>
      <w:marRight w:val="0"/>
      <w:marTop w:val="0"/>
      <w:marBottom w:val="0"/>
      <w:divBdr>
        <w:top w:val="none" w:sz="0" w:space="0" w:color="auto"/>
        <w:left w:val="none" w:sz="0" w:space="0" w:color="auto"/>
        <w:bottom w:val="none" w:sz="0" w:space="0" w:color="auto"/>
        <w:right w:val="none" w:sz="0" w:space="0" w:color="auto"/>
      </w:divBdr>
    </w:div>
    <w:div w:id="226497473">
      <w:bodyDiv w:val="1"/>
      <w:marLeft w:val="0"/>
      <w:marRight w:val="0"/>
      <w:marTop w:val="0"/>
      <w:marBottom w:val="0"/>
      <w:divBdr>
        <w:top w:val="none" w:sz="0" w:space="0" w:color="auto"/>
        <w:left w:val="none" w:sz="0" w:space="0" w:color="auto"/>
        <w:bottom w:val="none" w:sz="0" w:space="0" w:color="auto"/>
        <w:right w:val="none" w:sz="0" w:space="0" w:color="auto"/>
      </w:divBdr>
    </w:div>
    <w:div w:id="232593503">
      <w:bodyDiv w:val="1"/>
      <w:marLeft w:val="0"/>
      <w:marRight w:val="0"/>
      <w:marTop w:val="0"/>
      <w:marBottom w:val="0"/>
      <w:divBdr>
        <w:top w:val="none" w:sz="0" w:space="0" w:color="auto"/>
        <w:left w:val="none" w:sz="0" w:space="0" w:color="auto"/>
        <w:bottom w:val="none" w:sz="0" w:space="0" w:color="auto"/>
        <w:right w:val="none" w:sz="0" w:space="0" w:color="auto"/>
      </w:divBdr>
    </w:div>
    <w:div w:id="245461542">
      <w:bodyDiv w:val="1"/>
      <w:marLeft w:val="0"/>
      <w:marRight w:val="0"/>
      <w:marTop w:val="0"/>
      <w:marBottom w:val="0"/>
      <w:divBdr>
        <w:top w:val="none" w:sz="0" w:space="0" w:color="auto"/>
        <w:left w:val="none" w:sz="0" w:space="0" w:color="auto"/>
        <w:bottom w:val="none" w:sz="0" w:space="0" w:color="auto"/>
        <w:right w:val="none" w:sz="0" w:space="0" w:color="auto"/>
      </w:divBdr>
    </w:div>
    <w:div w:id="290789736">
      <w:bodyDiv w:val="1"/>
      <w:marLeft w:val="0"/>
      <w:marRight w:val="0"/>
      <w:marTop w:val="0"/>
      <w:marBottom w:val="0"/>
      <w:divBdr>
        <w:top w:val="none" w:sz="0" w:space="0" w:color="auto"/>
        <w:left w:val="none" w:sz="0" w:space="0" w:color="auto"/>
        <w:bottom w:val="none" w:sz="0" w:space="0" w:color="auto"/>
        <w:right w:val="none" w:sz="0" w:space="0" w:color="auto"/>
      </w:divBdr>
    </w:div>
    <w:div w:id="323168500">
      <w:bodyDiv w:val="1"/>
      <w:marLeft w:val="0"/>
      <w:marRight w:val="0"/>
      <w:marTop w:val="0"/>
      <w:marBottom w:val="0"/>
      <w:divBdr>
        <w:top w:val="none" w:sz="0" w:space="0" w:color="auto"/>
        <w:left w:val="none" w:sz="0" w:space="0" w:color="auto"/>
        <w:bottom w:val="none" w:sz="0" w:space="0" w:color="auto"/>
        <w:right w:val="none" w:sz="0" w:space="0" w:color="auto"/>
      </w:divBdr>
    </w:div>
    <w:div w:id="351733618">
      <w:bodyDiv w:val="1"/>
      <w:marLeft w:val="0"/>
      <w:marRight w:val="0"/>
      <w:marTop w:val="0"/>
      <w:marBottom w:val="0"/>
      <w:divBdr>
        <w:top w:val="none" w:sz="0" w:space="0" w:color="auto"/>
        <w:left w:val="none" w:sz="0" w:space="0" w:color="auto"/>
        <w:bottom w:val="none" w:sz="0" w:space="0" w:color="auto"/>
        <w:right w:val="none" w:sz="0" w:space="0" w:color="auto"/>
      </w:divBdr>
    </w:div>
    <w:div w:id="364138285">
      <w:bodyDiv w:val="1"/>
      <w:marLeft w:val="0"/>
      <w:marRight w:val="0"/>
      <w:marTop w:val="0"/>
      <w:marBottom w:val="0"/>
      <w:divBdr>
        <w:top w:val="none" w:sz="0" w:space="0" w:color="auto"/>
        <w:left w:val="none" w:sz="0" w:space="0" w:color="auto"/>
        <w:bottom w:val="none" w:sz="0" w:space="0" w:color="auto"/>
        <w:right w:val="none" w:sz="0" w:space="0" w:color="auto"/>
      </w:divBdr>
    </w:div>
    <w:div w:id="372391853">
      <w:bodyDiv w:val="1"/>
      <w:marLeft w:val="0"/>
      <w:marRight w:val="0"/>
      <w:marTop w:val="0"/>
      <w:marBottom w:val="0"/>
      <w:divBdr>
        <w:top w:val="none" w:sz="0" w:space="0" w:color="auto"/>
        <w:left w:val="none" w:sz="0" w:space="0" w:color="auto"/>
        <w:bottom w:val="none" w:sz="0" w:space="0" w:color="auto"/>
        <w:right w:val="none" w:sz="0" w:space="0" w:color="auto"/>
      </w:divBdr>
    </w:div>
    <w:div w:id="374547709">
      <w:bodyDiv w:val="1"/>
      <w:marLeft w:val="0"/>
      <w:marRight w:val="0"/>
      <w:marTop w:val="0"/>
      <w:marBottom w:val="0"/>
      <w:divBdr>
        <w:top w:val="none" w:sz="0" w:space="0" w:color="auto"/>
        <w:left w:val="none" w:sz="0" w:space="0" w:color="auto"/>
        <w:bottom w:val="none" w:sz="0" w:space="0" w:color="auto"/>
        <w:right w:val="none" w:sz="0" w:space="0" w:color="auto"/>
      </w:divBdr>
    </w:div>
    <w:div w:id="385614613">
      <w:bodyDiv w:val="1"/>
      <w:marLeft w:val="0"/>
      <w:marRight w:val="0"/>
      <w:marTop w:val="0"/>
      <w:marBottom w:val="0"/>
      <w:divBdr>
        <w:top w:val="none" w:sz="0" w:space="0" w:color="auto"/>
        <w:left w:val="none" w:sz="0" w:space="0" w:color="auto"/>
        <w:bottom w:val="none" w:sz="0" w:space="0" w:color="auto"/>
        <w:right w:val="none" w:sz="0" w:space="0" w:color="auto"/>
      </w:divBdr>
    </w:div>
    <w:div w:id="403140258">
      <w:bodyDiv w:val="1"/>
      <w:marLeft w:val="0"/>
      <w:marRight w:val="0"/>
      <w:marTop w:val="0"/>
      <w:marBottom w:val="0"/>
      <w:divBdr>
        <w:top w:val="none" w:sz="0" w:space="0" w:color="auto"/>
        <w:left w:val="none" w:sz="0" w:space="0" w:color="auto"/>
        <w:bottom w:val="none" w:sz="0" w:space="0" w:color="auto"/>
        <w:right w:val="none" w:sz="0" w:space="0" w:color="auto"/>
      </w:divBdr>
    </w:div>
    <w:div w:id="410276819">
      <w:bodyDiv w:val="1"/>
      <w:marLeft w:val="0"/>
      <w:marRight w:val="0"/>
      <w:marTop w:val="0"/>
      <w:marBottom w:val="0"/>
      <w:divBdr>
        <w:top w:val="none" w:sz="0" w:space="0" w:color="auto"/>
        <w:left w:val="none" w:sz="0" w:space="0" w:color="auto"/>
        <w:bottom w:val="none" w:sz="0" w:space="0" w:color="auto"/>
        <w:right w:val="none" w:sz="0" w:space="0" w:color="auto"/>
      </w:divBdr>
    </w:div>
    <w:div w:id="441533803">
      <w:bodyDiv w:val="1"/>
      <w:marLeft w:val="0"/>
      <w:marRight w:val="0"/>
      <w:marTop w:val="0"/>
      <w:marBottom w:val="0"/>
      <w:divBdr>
        <w:top w:val="none" w:sz="0" w:space="0" w:color="auto"/>
        <w:left w:val="none" w:sz="0" w:space="0" w:color="auto"/>
        <w:bottom w:val="none" w:sz="0" w:space="0" w:color="auto"/>
        <w:right w:val="none" w:sz="0" w:space="0" w:color="auto"/>
      </w:divBdr>
    </w:div>
    <w:div w:id="452987179">
      <w:bodyDiv w:val="1"/>
      <w:marLeft w:val="0"/>
      <w:marRight w:val="0"/>
      <w:marTop w:val="0"/>
      <w:marBottom w:val="0"/>
      <w:divBdr>
        <w:top w:val="none" w:sz="0" w:space="0" w:color="auto"/>
        <w:left w:val="none" w:sz="0" w:space="0" w:color="auto"/>
        <w:bottom w:val="none" w:sz="0" w:space="0" w:color="auto"/>
        <w:right w:val="none" w:sz="0" w:space="0" w:color="auto"/>
      </w:divBdr>
    </w:div>
    <w:div w:id="466824460">
      <w:bodyDiv w:val="1"/>
      <w:marLeft w:val="0"/>
      <w:marRight w:val="0"/>
      <w:marTop w:val="0"/>
      <w:marBottom w:val="0"/>
      <w:divBdr>
        <w:top w:val="none" w:sz="0" w:space="0" w:color="auto"/>
        <w:left w:val="none" w:sz="0" w:space="0" w:color="auto"/>
        <w:bottom w:val="none" w:sz="0" w:space="0" w:color="auto"/>
        <w:right w:val="none" w:sz="0" w:space="0" w:color="auto"/>
      </w:divBdr>
    </w:div>
    <w:div w:id="467163149">
      <w:bodyDiv w:val="1"/>
      <w:marLeft w:val="0"/>
      <w:marRight w:val="0"/>
      <w:marTop w:val="0"/>
      <w:marBottom w:val="0"/>
      <w:divBdr>
        <w:top w:val="none" w:sz="0" w:space="0" w:color="auto"/>
        <w:left w:val="none" w:sz="0" w:space="0" w:color="auto"/>
        <w:bottom w:val="none" w:sz="0" w:space="0" w:color="auto"/>
        <w:right w:val="none" w:sz="0" w:space="0" w:color="auto"/>
      </w:divBdr>
    </w:div>
    <w:div w:id="497817647">
      <w:bodyDiv w:val="1"/>
      <w:marLeft w:val="0"/>
      <w:marRight w:val="0"/>
      <w:marTop w:val="0"/>
      <w:marBottom w:val="0"/>
      <w:divBdr>
        <w:top w:val="none" w:sz="0" w:space="0" w:color="auto"/>
        <w:left w:val="none" w:sz="0" w:space="0" w:color="auto"/>
        <w:bottom w:val="none" w:sz="0" w:space="0" w:color="auto"/>
        <w:right w:val="none" w:sz="0" w:space="0" w:color="auto"/>
      </w:divBdr>
    </w:div>
    <w:div w:id="498737335">
      <w:bodyDiv w:val="1"/>
      <w:marLeft w:val="0"/>
      <w:marRight w:val="0"/>
      <w:marTop w:val="0"/>
      <w:marBottom w:val="0"/>
      <w:divBdr>
        <w:top w:val="none" w:sz="0" w:space="0" w:color="auto"/>
        <w:left w:val="none" w:sz="0" w:space="0" w:color="auto"/>
        <w:bottom w:val="none" w:sz="0" w:space="0" w:color="auto"/>
        <w:right w:val="none" w:sz="0" w:space="0" w:color="auto"/>
      </w:divBdr>
    </w:div>
    <w:div w:id="504050617">
      <w:bodyDiv w:val="1"/>
      <w:marLeft w:val="0"/>
      <w:marRight w:val="0"/>
      <w:marTop w:val="0"/>
      <w:marBottom w:val="0"/>
      <w:divBdr>
        <w:top w:val="none" w:sz="0" w:space="0" w:color="auto"/>
        <w:left w:val="none" w:sz="0" w:space="0" w:color="auto"/>
        <w:bottom w:val="none" w:sz="0" w:space="0" w:color="auto"/>
        <w:right w:val="none" w:sz="0" w:space="0" w:color="auto"/>
      </w:divBdr>
    </w:div>
    <w:div w:id="558977702">
      <w:bodyDiv w:val="1"/>
      <w:marLeft w:val="0"/>
      <w:marRight w:val="0"/>
      <w:marTop w:val="0"/>
      <w:marBottom w:val="0"/>
      <w:divBdr>
        <w:top w:val="none" w:sz="0" w:space="0" w:color="auto"/>
        <w:left w:val="none" w:sz="0" w:space="0" w:color="auto"/>
        <w:bottom w:val="none" w:sz="0" w:space="0" w:color="auto"/>
        <w:right w:val="none" w:sz="0" w:space="0" w:color="auto"/>
      </w:divBdr>
    </w:div>
    <w:div w:id="560214734">
      <w:bodyDiv w:val="1"/>
      <w:marLeft w:val="0"/>
      <w:marRight w:val="0"/>
      <w:marTop w:val="0"/>
      <w:marBottom w:val="0"/>
      <w:divBdr>
        <w:top w:val="none" w:sz="0" w:space="0" w:color="auto"/>
        <w:left w:val="none" w:sz="0" w:space="0" w:color="auto"/>
        <w:bottom w:val="none" w:sz="0" w:space="0" w:color="auto"/>
        <w:right w:val="none" w:sz="0" w:space="0" w:color="auto"/>
      </w:divBdr>
    </w:div>
    <w:div w:id="562641130">
      <w:bodyDiv w:val="1"/>
      <w:marLeft w:val="0"/>
      <w:marRight w:val="0"/>
      <w:marTop w:val="0"/>
      <w:marBottom w:val="0"/>
      <w:divBdr>
        <w:top w:val="none" w:sz="0" w:space="0" w:color="auto"/>
        <w:left w:val="none" w:sz="0" w:space="0" w:color="auto"/>
        <w:bottom w:val="none" w:sz="0" w:space="0" w:color="auto"/>
        <w:right w:val="none" w:sz="0" w:space="0" w:color="auto"/>
      </w:divBdr>
    </w:div>
    <w:div w:id="575558508">
      <w:bodyDiv w:val="1"/>
      <w:marLeft w:val="0"/>
      <w:marRight w:val="0"/>
      <w:marTop w:val="0"/>
      <w:marBottom w:val="0"/>
      <w:divBdr>
        <w:top w:val="none" w:sz="0" w:space="0" w:color="auto"/>
        <w:left w:val="none" w:sz="0" w:space="0" w:color="auto"/>
        <w:bottom w:val="none" w:sz="0" w:space="0" w:color="auto"/>
        <w:right w:val="none" w:sz="0" w:space="0" w:color="auto"/>
      </w:divBdr>
    </w:div>
    <w:div w:id="577255573">
      <w:bodyDiv w:val="1"/>
      <w:marLeft w:val="0"/>
      <w:marRight w:val="0"/>
      <w:marTop w:val="0"/>
      <w:marBottom w:val="0"/>
      <w:divBdr>
        <w:top w:val="none" w:sz="0" w:space="0" w:color="auto"/>
        <w:left w:val="none" w:sz="0" w:space="0" w:color="auto"/>
        <w:bottom w:val="none" w:sz="0" w:space="0" w:color="auto"/>
        <w:right w:val="none" w:sz="0" w:space="0" w:color="auto"/>
      </w:divBdr>
    </w:div>
    <w:div w:id="626158227">
      <w:bodyDiv w:val="1"/>
      <w:marLeft w:val="0"/>
      <w:marRight w:val="0"/>
      <w:marTop w:val="0"/>
      <w:marBottom w:val="0"/>
      <w:divBdr>
        <w:top w:val="none" w:sz="0" w:space="0" w:color="auto"/>
        <w:left w:val="none" w:sz="0" w:space="0" w:color="auto"/>
        <w:bottom w:val="none" w:sz="0" w:space="0" w:color="auto"/>
        <w:right w:val="none" w:sz="0" w:space="0" w:color="auto"/>
      </w:divBdr>
    </w:div>
    <w:div w:id="644508043">
      <w:bodyDiv w:val="1"/>
      <w:marLeft w:val="0"/>
      <w:marRight w:val="0"/>
      <w:marTop w:val="0"/>
      <w:marBottom w:val="0"/>
      <w:divBdr>
        <w:top w:val="none" w:sz="0" w:space="0" w:color="auto"/>
        <w:left w:val="none" w:sz="0" w:space="0" w:color="auto"/>
        <w:bottom w:val="none" w:sz="0" w:space="0" w:color="auto"/>
        <w:right w:val="none" w:sz="0" w:space="0" w:color="auto"/>
      </w:divBdr>
    </w:div>
    <w:div w:id="647366164">
      <w:bodyDiv w:val="1"/>
      <w:marLeft w:val="0"/>
      <w:marRight w:val="0"/>
      <w:marTop w:val="0"/>
      <w:marBottom w:val="0"/>
      <w:divBdr>
        <w:top w:val="none" w:sz="0" w:space="0" w:color="auto"/>
        <w:left w:val="none" w:sz="0" w:space="0" w:color="auto"/>
        <w:bottom w:val="none" w:sz="0" w:space="0" w:color="auto"/>
        <w:right w:val="none" w:sz="0" w:space="0" w:color="auto"/>
      </w:divBdr>
    </w:div>
    <w:div w:id="650259021">
      <w:bodyDiv w:val="1"/>
      <w:marLeft w:val="0"/>
      <w:marRight w:val="0"/>
      <w:marTop w:val="0"/>
      <w:marBottom w:val="0"/>
      <w:divBdr>
        <w:top w:val="none" w:sz="0" w:space="0" w:color="auto"/>
        <w:left w:val="none" w:sz="0" w:space="0" w:color="auto"/>
        <w:bottom w:val="none" w:sz="0" w:space="0" w:color="auto"/>
        <w:right w:val="none" w:sz="0" w:space="0" w:color="auto"/>
      </w:divBdr>
    </w:div>
    <w:div w:id="658078742">
      <w:bodyDiv w:val="1"/>
      <w:marLeft w:val="0"/>
      <w:marRight w:val="0"/>
      <w:marTop w:val="0"/>
      <w:marBottom w:val="0"/>
      <w:divBdr>
        <w:top w:val="none" w:sz="0" w:space="0" w:color="auto"/>
        <w:left w:val="none" w:sz="0" w:space="0" w:color="auto"/>
        <w:bottom w:val="none" w:sz="0" w:space="0" w:color="auto"/>
        <w:right w:val="none" w:sz="0" w:space="0" w:color="auto"/>
      </w:divBdr>
    </w:div>
    <w:div w:id="659844564">
      <w:bodyDiv w:val="1"/>
      <w:marLeft w:val="0"/>
      <w:marRight w:val="0"/>
      <w:marTop w:val="0"/>
      <w:marBottom w:val="0"/>
      <w:divBdr>
        <w:top w:val="none" w:sz="0" w:space="0" w:color="auto"/>
        <w:left w:val="none" w:sz="0" w:space="0" w:color="auto"/>
        <w:bottom w:val="none" w:sz="0" w:space="0" w:color="auto"/>
        <w:right w:val="none" w:sz="0" w:space="0" w:color="auto"/>
      </w:divBdr>
    </w:div>
    <w:div w:id="678196611">
      <w:bodyDiv w:val="1"/>
      <w:marLeft w:val="0"/>
      <w:marRight w:val="0"/>
      <w:marTop w:val="0"/>
      <w:marBottom w:val="0"/>
      <w:divBdr>
        <w:top w:val="none" w:sz="0" w:space="0" w:color="auto"/>
        <w:left w:val="none" w:sz="0" w:space="0" w:color="auto"/>
        <w:bottom w:val="none" w:sz="0" w:space="0" w:color="auto"/>
        <w:right w:val="none" w:sz="0" w:space="0" w:color="auto"/>
      </w:divBdr>
    </w:div>
    <w:div w:id="687803026">
      <w:bodyDiv w:val="1"/>
      <w:marLeft w:val="0"/>
      <w:marRight w:val="0"/>
      <w:marTop w:val="0"/>
      <w:marBottom w:val="0"/>
      <w:divBdr>
        <w:top w:val="none" w:sz="0" w:space="0" w:color="auto"/>
        <w:left w:val="none" w:sz="0" w:space="0" w:color="auto"/>
        <w:bottom w:val="none" w:sz="0" w:space="0" w:color="auto"/>
        <w:right w:val="none" w:sz="0" w:space="0" w:color="auto"/>
      </w:divBdr>
    </w:div>
    <w:div w:id="692999910">
      <w:bodyDiv w:val="1"/>
      <w:marLeft w:val="0"/>
      <w:marRight w:val="0"/>
      <w:marTop w:val="0"/>
      <w:marBottom w:val="0"/>
      <w:divBdr>
        <w:top w:val="none" w:sz="0" w:space="0" w:color="auto"/>
        <w:left w:val="none" w:sz="0" w:space="0" w:color="auto"/>
        <w:bottom w:val="none" w:sz="0" w:space="0" w:color="auto"/>
        <w:right w:val="none" w:sz="0" w:space="0" w:color="auto"/>
      </w:divBdr>
    </w:div>
    <w:div w:id="715204397">
      <w:bodyDiv w:val="1"/>
      <w:marLeft w:val="0"/>
      <w:marRight w:val="0"/>
      <w:marTop w:val="0"/>
      <w:marBottom w:val="0"/>
      <w:divBdr>
        <w:top w:val="none" w:sz="0" w:space="0" w:color="auto"/>
        <w:left w:val="none" w:sz="0" w:space="0" w:color="auto"/>
        <w:bottom w:val="none" w:sz="0" w:space="0" w:color="auto"/>
        <w:right w:val="none" w:sz="0" w:space="0" w:color="auto"/>
      </w:divBdr>
    </w:div>
    <w:div w:id="730621113">
      <w:bodyDiv w:val="1"/>
      <w:marLeft w:val="0"/>
      <w:marRight w:val="0"/>
      <w:marTop w:val="0"/>
      <w:marBottom w:val="0"/>
      <w:divBdr>
        <w:top w:val="none" w:sz="0" w:space="0" w:color="auto"/>
        <w:left w:val="none" w:sz="0" w:space="0" w:color="auto"/>
        <w:bottom w:val="none" w:sz="0" w:space="0" w:color="auto"/>
        <w:right w:val="none" w:sz="0" w:space="0" w:color="auto"/>
      </w:divBdr>
    </w:div>
    <w:div w:id="744036646">
      <w:bodyDiv w:val="1"/>
      <w:marLeft w:val="0"/>
      <w:marRight w:val="0"/>
      <w:marTop w:val="0"/>
      <w:marBottom w:val="0"/>
      <w:divBdr>
        <w:top w:val="none" w:sz="0" w:space="0" w:color="auto"/>
        <w:left w:val="none" w:sz="0" w:space="0" w:color="auto"/>
        <w:bottom w:val="none" w:sz="0" w:space="0" w:color="auto"/>
        <w:right w:val="none" w:sz="0" w:space="0" w:color="auto"/>
      </w:divBdr>
    </w:div>
    <w:div w:id="795223426">
      <w:bodyDiv w:val="1"/>
      <w:marLeft w:val="0"/>
      <w:marRight w:val="0"/>
      <w:marTop w:val="0"/>
      <w:marBottom w:val="0"/>
      <w:divBdr>
        <w:top w:val="none" w:sz="0" w:space="0" w:color="auto"/>
        <w:left w:val="none" w:sz="0" w:space="0" w:color="auto"/>
        <w:bottom w:val="none" w:sz="0" w:space="0" w:color="auto"/>
        <w:right w:val="none" w:sz="0" w:space="0" w:color="auto"/>
      </w:divBdr>
    </w:div>
    <w:div w:id="805316823">
      <w:bodyDiv w:val="1"/>
      <w:marLeft w:val="0"/>
      <w:marRight w:val="0"/>
      <w:marTop w:val="0"/>
      <w:marBottom w:val="0"/>
      <w:divBdr>
        <w:top w:val="none" w:sz="0" w:space="0" w:color="auto"/>
        <w:left w:val="none" w:sz="0" w:space="0" w:color="auto"/>
        <w:bottom w:val="none" w:sz="0" w:space="0" w:color="auto"/>
        <w:right w:val="none" w:sz="0" w:space="0" w:color="auto"/>
      </w:divBdr>
    </w:div>
    <w:div w:id="816994717">
      <w:bodyDiv w:val="1"/>
      <w:marLeft w:val="0"/>
      <w:marRight w:val="0"/>
      <w:marTop w:val="0"/>
      <w:marBottom w:val="0"/>
      <w:divBdr>
        <w:top w:val="none" w:sz="0" w:space="0" w:color="auto"/>
        <w:left w:val="none" w:sz="0" w:space="0" w:color="auto"/>
        <w:bottom w:val="none" w:sz="0" w:space="0" w:color="auto"/>
        <w:right w:val="none" w:sz="0" w:space="0" w:color="auto"/>
      </w:divBdr>
    </w:div>
    <w:div w:id="818037284">
      <w:bodyDiv w:val="1"/>
      <w:marLeft w:val="0"/>
      <w:marRight w:val="0"/>
      <w:marTop w:val="0"/>
      <w:marBottom w:val="0"/>
      <w:divBdr>
        <w:top w:val="none" w:sz="0" w:space="0" w:color="auto"/>
        <w:left w:val="none" w:sz="0" w:space="0" w:color="auto"/>
        <w:bottom w:val="none" w:sz="0" w:space="0" w:color="auto"/>
        <w:right w:val="none" w:sz="0" w:space="0" w:color="auto"/>
      </w:divBdr>
    </w:div>
    <w:div w:id="852836286">
      <w:bodyDiv w:val="1"/>
      <w:marLeft w:val="0"/>
      <w:marRight w:val="0"/>
      <w:marTop w:val="0"/>
      <w:marBottom w:val="0"/>
      <w:divBdr>
        <w:top w:val="none" w:sz="0" w:space="0" w:color="auto"/>
        <w:left w:val="none" w:sz="0" w:space="0" w:color="auto"/>
        <w:bottom w:val="none" w:sz="0" w:space="0" w:color="auto"/>
        <w:right w:val="none" w:sz="0" w:space="0" w:color="auto"/>
      </w:divBdr>
    </w:div>
    <w:div w:id="870337525">
      <w:bodyDiv w:val="1"/>
      <w:marLeft w:val="0"/>
      <w:marRight w:val="0"/>
      <w:marTop w:val="0"/>
      <w:marBottom w:val="0"/>
      <w:divBdr>
        <w:top w:val="none" w:sz="0" w:space="0" w:color="auto"/>
        <w:left w:val="none" w:sz="0" w:space="0" w:color="auto"/>
        <w:bottom w:val="none" w:sz="0" w:space="0" w:color="auto"/>
        <w:right w:val="none" w:sz="0" w:space="0" w:color="auto"/>
      </w:divBdr>
    </w:div>
    <w:div w:id="886646482">
      <w:bodyDiv w:val="1"/>
      <w:marLeft w:val="0"/>
      <w:marRight w:val="0"/>
      <w:marTop w:val="0"/>
      <w:marBottom w:val="0"/>
      <w:divBdr>
        <w:top w:val="none" w:sz="0" w:space="0" w:color="auto"/>
        <w:left w:val="none" w:sz="0" w:space="0" w:color="auto"/>
        <w:bottom w:val="none" w:sz="0" w:space="0" w:color="auto"/>
        <w:right w:val="none" w:sz="0" w:space="0" w:color="auto"/>
      </w:divBdr>
    </w:div>
    <w:div w:id="894779915">
      <w:bodyDiv w:val="1"/>
      <w:marLeft w:val="0"/>
      <w:marRight w:val="0"/>
      <w:marTop w:val="0"/>
      <w:marBottom w:val="0"/>
      <w:divBdr>
        <w:top w:val="none" w:sz="0" w:space="0" w:color="auto"/>
        <w:left w:val="none" w:sz="0" w:space="0" w:color="auto"/>
        <w:bottom w:val="none" w:sz="0" w:space="0" w:color="auto"/>
        <w:right w:val="none" w:sz="0" w:space="0" w:color="auto"/>
      </w:divBdr>
    </w:div>
    <w:div w:id="934047118">
      <w:bodyDiv w:val="1"/>
      <w:marLeft w:val="0"/>
      <w:marRight w:val="0"/>
      <w:marTop w:val="0"/>
      <w:marBottom w:val="0"/>
      <w:divBdr>
        <w:top w:val="none" w:sz="0" w:space="0" w:color="auto"/>
        <w:left w:val="none" w:sz="0" w:space="0" w:color="auto"/>
        <w:bottom w:val="none" w:sz="0" w:space="0" w:color="auto"/>
        <w:right w:val="none" w:sz="0" w:space="0" w:color="auto"/>
      </w:divBdr>
    </w:div>
    <w:div w:id="969016337">
      <w:bodyDiv w:val="1"/>
      <w:marLeft w:val="0"/>
      <w:marRight w:val="0"/>
      <w:marTop w:val="0"/>
      <w:marBottom w:val="0"/>
      <w:divBdr>
        <w:top w:val="none" w:sz="0" w:space="0" w:color="auto"/>
        <w:left w:val="none" w:sz="0" w:space="0" w:color="auto"/>
        <w:bottom w:val="none" w:sz="0" w:space="0" w:color="auto"/>
        <w:right w:val="none" w:sz="0" w:space="0" w:color="auto"/>
      </w:divBdr>
    </w:div>
    <w:div w:id="988172371">
      <w:bodyDiv w:val="1"/>
      <w:marLeft w:val="0"/>
      <w:marRight w:val="0"/>
      <w:marTop w:val="0"/>
      <w:marBottom w:val="0"/>
      <w:divBdr>
        <w:top w:val="none" w:sz="0" w:space="0" w:color="auto"/>
        <w:left w:val="none" w:sz="0" w:space="0" w:color="auto"/>
        <w:bottom w:val="none" w:sz="0" w:space="0" w:color="auto"/>
        <w:right w:val="none" w:sz="0" w:space="0" w:color="auto"/>
      </w:divBdr>
    </w:div>
    <w:div w:id="988633342">
      <w:bodyDiv w:val="1"/>
      <w:marLeft w:val="0"/>
      <w:marRight w:val="0"/>
      <w:marTop w:val="0"/>
      <w:marBottom w:val="0"/>
      <w:divBdr>
        <w:top w:val="none" w:sz="0" w:space="0" w:color="auto"/>
        <w:left w:val="none" w:sz="0" w:space="0" w:color="auto"/>
        <w:bottom w:val="none" w:sz="0" w:space="0" w:color="auto"/>
        <w:right w:val="none" w:sz="0" w:space="0" w:color="auto"/>
      </w:divBdr>
    </w:div>
    <w:div w:id="1006788467">
      <w:bodyDiv w:val="1"/>
      <w:marLeft w:val="0"/>
      <w:marRight w:val="0"/>
      <w:marTop w:val="0"/>
      <w:marBottom w:val="0"/>
      <w:divBdr>
        <w:top w:val="none" w:sz="0" w:space="0" w:color="auto"/>
        <w:left w:val="none" w:sz="0" w:space="0" w:color="auto"/>
        <w:bottom w:val="none" w:sz="0" w:space="0" w:color="auto"/>
        <w:right w:val="none" w:sz="0" w:space="0" w:color="auto"/>
      </w:divBdr>
    </w:div>
    <w:div w:id="1048648364">
      <w:bodyDiv w:val="1"/>
      <w:marLeft w:val="0"/>
      <w:marRight w:val="0"/>
      <w:marTop w:val="0"/>
      <w:marBottom w:val="0"/>
      <w:divBdr>
        <w:top w:val="none" w:sz="0" w:space="0" w:color="auto"/>
        <w:left w:val="none" w:sz="0" w:space="0" w:color="auto"/>
        <w:bottom w:val="none" w:sz="0" w:space="0" w:color="auto"/>
        <w:right w:val="none" w:sz="0" w:space="0" w:color="auto"/>
      </w:divBdr>
    </w:div>
    <w:div w:id="1051342433">
      <w:bodyDiv w:val="1"/>
      <w:marLeft w:val="0"/>
      <w:marRight w:val="0"/>
      <w:marTop w:val="0"/>
      <w:marBottom w:val="0"/>
      <w:divBdr>
        <w:top w:val="none" w:sz="0" w:space="0" w:color="auto"/>
        <w:left w:val="none" w:sz="0" w:space="0" w:color="auto"/>
        <w:bottom w:val="none" w:sz="0" w:space="0" w:color="auto"/>
        <w:right w:val="none" w:sz="0" w:space="0" w:color="auto"/>
      </w:divBdr>
    </w:div>
    <w:div w:id="1066027932">
      <w:bodyDiv w:val="1"/>
      <w:marLeft w:val="0"/>
      <w:marRight w:val="0"/>
      <w:marTop w:val="0"/>
      <w:marBottom w:val="0"/>
      <w:divBdr>
        <w:top w:val="none" w:sz="0" w:space="0" w:color="auto"/>
        <w:left w:val="none" w:sz="0" w:space="0" w:color="auto"/>
        <w:bottom w:val="none" w:sz="0" w:space="0" w:color="auto"/>
        <w:right w:val="none" w:sz="0" w:space="0" w:color="auto"/>
      </w:divBdr>
    </w:div>
    <w:div w:id="1106198882">
      <w:bodyDiv w:val="1"/>
      <w:marLeft w:val="0"/>
      <w:marRight w:val="0"/>
      <w:marTop w:val="0"/>
      <w:marBottom w:val="0"/>
      <w:divBdr>
        <w:top w:val="none" w:sz="0" w:space="0" w:color="auto"/>
        <w:left w:val="none" w:sz="0" w:space="0" w:color="auto"/>
        <w:bottom w:val="none" w:sz="0" w:space="0" w:color="auto"/>
        <w:right w:val="none" w:sz="0" w:space="0" w:color="auto"/>
      </w:divBdr>
    </w:div>
    <w:div w:id="1125343039">
      <w:bodyDiv w:val="1"/>
      <w:marLeft w:val="0"/>
      <w:marRight w:val="0"/>
      <w:marTop w:val="0"/>
      <w:marBottom w:val="0"/>
      <w:divBdr>
        <w:top w:val="none" w:sz="0" w:space="0" w:color="auto"/>
        <w:left w:val="none" w:sz="0" w:space="0" w:color="auto"/>
        <w:bottom w:val="none" w:sz="0" w:space="0" w:color="auto"/>
        <w:right w:val="none" w:sz="0" w:space="0" w:color="auto"/>
      </w:divBdr>
    </w:div>
    <w:div w:id="1154562627">
      <w:bodyDiv w:val="1"/>
      <w:marLeft w:val="0"/>
      <w:marRight w:val="0"/>
      <w:marTop w:val="0"/>
      <w:marBottom w:val="0"/>
      <w:divBdr>
        <w:top w:val="none" w:sz="0" w:space="0" w:color="auto"/>
        <w:left w:val="none" w:sz="0" w:space="0" w:color="auto"/>
        <w:bottom w:val="none" w:sz="0" w:space="0" w:color="auto"/>
        <w:right w:val="none" w:sz="0" w:space="0" w:color="auto"/>
      </w:divBdr>
    </w:div>
    <w:div w:id="1164778699">
      <w:bodyDiv w:val="1"/>
      <w:marLeft w:val="0"/>
      <w:marRight w:val="0"/>
      <w:marTop w:val="0"/>
      <w:marBottom w:val="0"/>
      <w:divBdr>
        <w:top w:val="none" w:sz="0" w:space="0" w:color="auto"/>
        <w:left w:val="none" w:sz="0" w:space="0" w:color="auto"/>
        <w:bottom w:val="none" w:sz="0" w:space="0" w:color="auto"/>
        <w:right w:val="none" w:sz="0" w:space="0" w:color="auto"/>
      </w:divBdr>
    </w:div>
    <w:div w:id="1171144364">
      <w:bodyDiv w:val="1"/>
      <w:marLeft w:val="0"/>
      <w:marRight w:val="0"/>
      <w:marTop w:val="0"/>
      <w:marBottom w:val="0"/>
      <w:divBdr>
        <w:top w:val="none" w:sz="0" w:space="0" w:color="auto"/>
        <w:left w:val="none" w:sz="0" w:space="0" w:color="auto"/>
        <w:bottom w:val="none" w:sz="0" w:space="0" w:color="auto"/>
        <w:right w:val="none" w:sz="0" w:space="0" w:color="auto"/>
      </w:divBdr>
    </w:div>
    <w:div w:id="1195312870">
      <w:bodyDiv w:val="1"/>
      <w:marLeft w:val="0"/>
      <w:marRight w:val="0"/>
      <w:marTop w:val="0"/>
      <w:marBottom w:val="0"/>
      <w:divBdr>
        <w:top w:val="none" w:sz="0" w:space="0" w:color="auto"/>
        <w:left w:val="none" w:sz="0" w:space="0" w:color="auto"/>
        <w:bottom w:val="none" w:sz="0" w:space="0" w:color="auto"/>
        <w:right w:val="none" w:sz="0" w:space="0" w:color="auto"/>
      </w:divBdr>
    </w:div>
    <w:div w:id="1205829485">
      <w:bodyDiv w:val="1"/>
      <w:marLeft w:val="0"/>
      <w:marRight w:val="0"/>
      <w:marTop w:val="0"/>
      <w:marBottom w:val="0"/>
      <w:divBdr>
        <w:top w:val="none" w:sz="0" w:space="0" w:color="auto"/>
        <w:left w:val="none" w:sz="0" w:space="0" w:color="auto"/>
        <w:bottom w:val="none" w:sz="0" w:space="0" w:color="auto"/>
        <w:right w:val="none" w:sz="0" w:space="0" w:color="auto"/>
      </w:divBdr>
    </w:div>
    <w:div w:id="1206481504">
      <w:bodyDiv w:val="1"/>
      <w:marLeft w:val="0"/>
      <w:marRight w:val="0"/>
      <w:marTop w:val="0"/>
      <w:marBottom w:val="0"/>
      <w:divBdr>
        <w:top w:val="none" w:sz="0" w:space="0" w:color="auto"/>
        <w:left w:val="none" w:sz="0" w:space="0" w:color="auto"/>
        <w:bottom w:val="none" w:sz="0" w:space="0" w:color="auto"/>
        <w:right w:val="none" w:sz="0" w:space="0" w:color="auto"/>
      </w:divBdr>
    </w:div>
    <w:div w:id="1210146540">
      <w:bodyDiv w:val="1"/>
      <w:marLeft w:val="0"/>
      <w:marRight w:val="0"/>
      <w:marTop w:val="0"/>
      <w:marBottom w:val="0"/>
      <w:divBdr>
        <w:top w:val="none" w:sz="0" w:space="0" w:color="auto"/>
        <w:left w:val="none" w:sz="0" w:space="0" w:color="auto"/>
        <w:bottom w:val="none" w:sz="0" w:space="0" w:color="auto"/>
        <w:right w:val="none" w:sz="0" w:space="0" w:color="auto"/>
      </w:divBdr>
    </w:div>
    <w:div w:id="1210991003">
      <w:bodyDiv w:val="1"/>
      <w:marLeft w:val="0"/>
      <w:marRight w:val="0"/>
      <w:marTop w:val="0"/>
      <w:marBottom w:val="0"/>
      <w:divBdr>
        <w:top w:val="none" w:sz="0" w:space="0" w:color="auto"/>
        <w:left w:val="none" w:sz="0" w:space="0" w:color="auto"/>
        <w:bottom w:val="none" w:sz="0" w:space="0" w:color="auto"/>
        <w:right w:val="none" w:sz="0" w:space="0" w:color="auto"/>
      </w:divBdr>
    </w:div>
    <w:div w:id="1217625745">
      <w:bodyDiv w:val="1"/>
      <w:marLeft w:val="0"/>
      <w:marRight w:val="0"/>
      <w:marTop w:val="0"/>
      <w:marBottom w:val="0"/>
      <w:divBdr>
        <w:top w:val="none" w:sz="0" w:space="0" w:color="auto"/>
        <w:left w:val="none" w:sz="0" w:space="0" w:color="auto"/>
        <w:bottom w:val="none" w:sz="0" w:space="0" w:color="auto"/>
        <w:right w:val="none" w:sz="0" w:space="0" w:color="auto"/>
      </w:divBdr>
    </w:div>
    <w:div w:id="1238857674">
      <w:bodyDiv w:val="1"/>
      <w:marLeft w:val="0"/>
      <w:marRight w:val="0"/>
      <w:marTop w:val="0"/>
      <w:marBottom w:val="0"/>
      <w:divBdr>
        <w:top w:val="none" w:sz="0" w:space="0" w:color="auto"/>
        <w:left w:val="none" w:sz="0" w:space="0" w:color="auto"/>
        <w:bottom w:val="none" w:sz="0" w:space="0" w:color="auto"/>
        <w:right w:val="none" w:sz="0" w:space="0" w:color="auto"/>
      </w:divBdr>
    </w:div>
    <w:div w:id="1238979302">
      <w:bodyDiv w:val="1"/>
      <w:marLeft w:val="0"/>
      <w:marRight w:val="0"/>
      <w:marTop w:val="0"/>
      <w:marBottom w:val="0"/>
      <w:divBdr>
        <w:top w:val="none" w:sz="0" w:space="0" w:color="auto"/>
        <w:left w:val="none" w:sz="0" w:space="0" w:color="auto"/>
        <w:bottom w:val="none" w:sz="0" w:space="0" w:color="auto"/>
        <w:right w:val="none" w:sz="0" w:space="0" w:color="auto"/>
      </w:divBdr>
    </w:div>
    <w:div w:id="1244990422">
      <w:bodyDiv w:val="1"/>
      <w:marLeft w:val="0"/>
      <w:marRight w:val="0"/>
      <w:marTop w:val="0"/>
      <w:marBottom w:val="0"/>
      <w:divBdr>
        <w:top w:val="none" w:sz="0" w:space="0" w:color="auto"/>
        <w:left w:val="none" w:sz="0" w:space="0" w:color="auto"/>
        <w:bottom w:val="none" w:sz="0" w:space="0" w:color="auto"/>
        <w:right w:val="none" w:sz="0" w:space="0" w:color="auto"/>
      </w:divBdr>
    </w:div>
    <w:div w:id="1298142937">
      <w:bodyDiv w:val="1"/>
      <w:marLeft w:val="0"/>
      <w:marRight w:val="0"/>
      <w:marTop w:val="0"/>
      <w:marBottom w:val="0"/>
      <w:divBdr>
        <w:top w:val="none" w:sz="0" w:space="0" w:color="auto"/>
        <w:left w:val="none" w:sz="0" w:space="0" w:color="auto"/>
        <w:bottom w:val="none" w:sz="0" w:space="0" w:color="auto"/>
        <w:right w:val="none" w:sz="0" w:space="0" w:color="auto"/>
      </w:divBdr>
    </w:div>
    <w:div w:id="1329942631">
      <w:bodyDiv w:val="1"/>
      <w:marLeft w:val="0"/>
      <w:marRight w:val="0"/>
      <w:marTop w:val="0"/>
      <w:marBottom w:val="0"/>
      <w:divBdr>
        <w:top w:val="none" w:sz="0" w:space="0" w:color="auto"/>
        <w:left w:val="none" w:sz="0" w:space="0" w:color="auto"/>
        <w:bottom w:val="none" w:sz="0" w:space="0" w:color="auto"/>
        <w:right w:val="none" w:sz="0" w:space="0" w:color="auto"/>
      </w:divBdr>
    </w:div>
    <w:div w:id="1330867980">
      <w:bodyDiv w:val="1"/>
      <w:marLeft w:val="0"/>
      <w:marRight w:val="0"/>
      <w:marTop w:val="0"/>
      <w:marBottom w:val="0"/>
      <w:divBdr>
        <w:top w:val="none" w:sz="0" w:space="0" w:color="auto"/>
        <w:left w:val="none" w:sz="0" w:space="0" w:color="auto"/>
        <w:bottom w:val="none" w:sz="0" w:space="0" w:color="auto"/>
        <w:right w:val="none" w:sz="0" w:space="0" w:color="auto"/>
      </w:divBdr>
    </w:div>
    <w:div w:id="1388186674">
      <w:bodyDiv w:val="1"/>
      <w:marLeft w:val="0"/>
      <w:marRight w:val="0"/>
      <w:marTop w:val="0"/>
      <w:marBottom w:val="0"/>
      <w:divBdr>
        <w:top w:val="none" w:sz="0" w:space="0" w:color="auto"/>
        <w:left w:val="none" w:sz="0" w:space="0" w:color="auto"/>
        <w:bottom w:val="none" w:sz="0" w:space="0" w:color="auto"/>
        <w:right w:val="none" w:sz="0" w:space="0" w:color="auto"/>
      </w:divBdr>
    </w:div>
    <w:div w:id="1389306823">
      <w:bodyDiv w:val="1"/>
      <w:marLeft w:val="0"/>
      <w:marRight w:val="0"/>
      <w:marTop w:val="0"/>
      <w:marBottom w:val="0"/>
      <w:divBdr>
        <w:top w:val="none" w:sz="0" w:space="0" w:color="auto"/>
        <w:left w:val="none" w:sz="0" w:space="0" w:color="auto"/>
        <w:bottom w:val="none" w:sz="0" w:space="0" w:color="auto"/>
        <w:right w:val="none" w:sz="0" w:space="0" w:color="auto"/>
      </w:divBdr>
    </w:div>
    <w:div w:id="1398750424">
      <w:bodyDiv w:val="1"/>
      <w:marLeft w:val="0"/>
      <w:marRight w:val="0"/>
      <w:marTop w:val="0"/>
      <w:marBottom w:val="0"/>
      <w:divBdr>
        <w:top w:val="none" w:sz="0" w:space="0" w:color="auto"/>
        <w:left w:val="none" w:sz="0" w:space="0" w:color="auto"/>
        <w:bottom w:val="none" w:sz="0" w:space="0" w:color="auto"/>
        <w:right w:val="none" w:sz="0" w:space="0" w:color="auto"/>
      </w:divBdr>
    </w:div>
    <w:div w:id="1404991537">
      <w:bodyDiv w:val="1"/>
      <w:marLeft w:val="0"/>
      <w:marRight w:val="0"/>
      <w:marTop w:val="0"/>
      <w:marBottom w:val="0"/>
      <w:divBdr>
        <w:top w:val="none" w:sz="0" w:space="0" w:color="auto"/>
        <w:left w:val="none" w:sz="0" w:space="0" w:color="auto"/>
        <w:bottom w:val="none" w:sz="0" w:space="0" w:color="auto"/>
        <w:right w:val="none" w:sz="0" w:space="0" w:color="auto"/>
      </w:divBdr>
    </w:div>
    <w:div w:id="1405178627">
      <w:bodyDiv w:val="1"/>
      <w:marLeft w:val="0"/>
      <w:marRight w:val="0"/>
      <w:marTop w:val="0"/>
      <w:marBottom w:val="0"/>
      <w:divBdr>
        <w:top w:val="none" w:sz="0" w:space="0" w:color="auto"/>
        <w:left w:val="none" w:sz="0" w:space="0" w:color="auto"/>
        <w:bottom w:val="none" w:sz="0" w:space="0" w:color="auto"/>
        <w:right w:val="none" w:sz="0" w:space="0" w:color="auto"/>
      </w:divBdr>
    </w:div>
    <w:div w:id="1468281820">
      <w:bodyDiv w:val="1"/>
      <w:marLeft w:val="0"/>
      <w:marRight w:val="0"/>
      <w:marTop w:val="0"/>
      <w:marBottom w:val="0"/>
      <w:divBdr>
        <w:top w:val="none" w:sz="0" w:space="0" w:color="auto"/>
        <w:left w:val="none" w:sz="0" w:space="0" w:color="auto"/>
        <w:bottom w:val="none" w:sz="0" w:space="0" w:color="auto"/>
        <w:right w:val="none" w:sz="0" w:space="0" w:color="auto"/>
      </w:divBdr>
    </w:div>
    <w:div w:id="1499922777">
      <w:bodyDiv w:val="1"/>
      <w:marLeft w:val="0"/>
      <w:marRight w:val="0"/>
      <w:marTop w:val="0"/>
      <w:marBottom w:val="0"/>
      <w:divBdr>
        <w:top w:val="none" w:sz="0" w:space="0" w:color="auto"/>
        <w:left w:val="none" w:sz="0" w:space="0" w:color="auto"/>
        <w:bottom w:val="none" w:sz="0" w:space="0" w:color="auto"/>
        <w:right w:val="none" w:sz="0" w:space="0" w:color="auto"/>
      </w:divBdr>
    </w:div>
    <w:div w:id="1521966882">
      <w:bodyDiv w:val="1"/>
      <w:marLeft w:val="0"/>
      <w:marRight w:val="0"/>
      <w:marTop w:val="0"/>
      <w:marBottom w:val="0"/>
      <w:divBdr>
        <w:top w:val="none" w:sz="0" w:space="0" w:color="auto"/>
        <w:left w:val="none" w:sz="0" w:space="0" w:color="auto"/>
        <w:bottom w:val="none" w:sz="0" w:space="0" w:color="auto"/>
        <w:right w:val="none" w:sz="0" w:space="0" w:color="auto"/>
      </w:divBdr>
    </w:div>
    <w:div w:id="1525825403">
      <w:bodyDiv w:val="1"/>
      <w:marLeft w:val="0"/>
      <w:marRight w:val="0"/>
      <w:marTop w:val="0"/>
      <w:marBottom w:val="0"/>
      <w:divBdr>
        <w:top w:val="none" w:sz="0" w:space="0" w:color="auto"/>
        <w:left w:val="none" w:sz="0" w:space="0" w:color="auto"/>
        <w:bottom w:val="none" w:sz="0" w:space="0" w:color="auto"/>
        <w:right w:val="none" w:sz="0" w:space="0" w:color="auto"/>
      </w:divBdr>
    </w:div>
    <w:div w:id="1530991184">
      <w:bodyDiv w:val="1"/>
      <w:marLeft w:val="0"/>
      <w:marRight w:val="0"/>
      <w:marTop w:val="0"/>
      <w:marBottom w:val="0"/>
      <w:divBdr>
        <w:top w:val="none" w:sz="0" w:space="0" w:color="auto"/>
        <w:left w:val="none" w:sz="0" w:space="0" w:color="auto"/>
        <w:bottom w:val="none" w:sz="0" w:space="0" w:color="auto"/>
        <w:right w:val="none" w:sz="0" w:space="0" w:color="auto"/>
      </w:divBdr>
    </w:div>
    <w:div w:id="1536499759">
      <w:bodyDiv w:val="1"/>
      <w:marLeft w:val="0"/>
      <w:marRight w:val="0"/>
      <w:marTop w:val="0"/>
      <w:marBottom w:val="0"/>
      <w:divBdr>
        <w:top w:val="none" w:sz="0" w:space="0" w:color="auto"/>
        <w:left w:val="none" w:sz="0" w:space="0" w:color="auto"/>
        <w:bottom w:val="none" w:sz="0" w:space="0" w:color="auto"/>
        <w:right w:val="none" w:sz="0" w:space="0" w:color="auto"/>
      </w:divBdr>
    </w:div>
    <w:div w:id="1540776322">
      <w:bodyDiv w:val="1"/>
      <w:marLeft w:val="0"/>
      <w:marRight w:val="0"/>
      <w:marTop w:val="0"/>
      <w:marBottom w:val="0"/>
      <w:divBdr>
        <w:top w:val="none" w:sz="0" w:space="0" w:color="auto"/>
        <w:left w:val="none" w:sz="0" w:space="0" w:color="auto"/>
        <w:bottom w:val="none" w:sz="0" w:space="0" w:color="auto"/>
        <w:right w:val="none" w:sz="0" w:space="0" w:color="auto"/>
      </w:divBdr>
    </w:div>
    <w:div w:id="1573617154">
      <w:bodyDiv w:val="1"/>
      <w:marLeft w:val="0"/>
      <w:marRight w:val="0"/>
      <w:marTop w:val="0"/>
      <w:marBottom w:val="0"/>
      <w:divBdr>
        <w:top w:val="none" w:sz="0" w:space="0" w:color="auto"/>
        <w:left w:val="none" w:sz="0" w:space="0" w:color="auto"/>
        <w:bottom w:val="none" w:sz="0" w:space="0" w:color="auto"/>
        <w:right w:val="none" w:sz="0" w:space="0" w:color="auto"/>
      </w:divBdr>
    </w:div>
    <w:div w:id="1597397969">
      <w:bodyDiv w:val="1"/>
      <w:marLeft w:val="0"/>
      <w:marRight w:val="0"/>
      <w:marTop w:val="0"/>
      <w:marBottom w:val="0"/>
      <w:divBdr>
        <w:top w:val="none" w:sz="0" w:space="0" w:color="auto"/>
        <w:left w:val="none" w:sz="0" w:space="0" w:color="auto"/>
        <w:bottom w:val="none" w:sz="0" w:space="0" w:color="auto"/>
        <w:right w:val="none" w:sz="0" w:space="0" w:color="auto"/>
      </w:divBdr>
    </w:div>
    <w:div w:id="1601451829">
      <w:bodyDiv w:val="1"/>
      <w:marLeft w:val="0"/>
      <w:marRight w:val="0"/>
      <w:marTop w:val="0"/>
      <w:marBottom w:val="0"/>
      <w:divBdr>
        <w:top w:val="none" w:sz="0" w:space="0" w:color="auto"/>
        <w:left w:val="none" w:sz="0" w:space="0" w:color="auto"/>
        <w:bottom w:val="none" w:sz="0" w:space="0" w:color="auto"/>
        <w:right w:val="none" w:sz="0" w:space="0" w:color="auto"/>
      </w:divBdr>
    </w:div>
    <w:div w:id="1632636909">
      <w:bodyDiv w:val="1"/>
      <w:marLeft w:val="0"/>
      <w:marRight w:val="0"/>
      <w:marTop w:val="0"/>
      <w:marBottom w:val="0"/>
      <w:divBdr>
        <w:top w:val="none" w:sz="0" w:space="0" w:color="auto"/>
        <w:left w:val="none" w:sz="0" w:space="0" w:color="auto"/>
        <w:bottom w:val="none" w:sz="0" w:space="0" w:color="auto"/>
        <w:right w:val="none" w:sz="0" w:space="0" w:color="auto"/>
      </w:divBdr>
    </w:div>
    <w:div w:id="1653023444">
      <w:bodyDiv w:val="1"/>
      <w:marLeft w:val="0"/>
      <w:marRight w:val="0"/>
      <w:marTop w:val="0"/>
      <w:marBottom w:val="0"/>
      <w:divBdr>
        <w:top w:val="none" w:sz="0" w:space="0" w:color="auto"/>
        <w:left w:val="none" w:sz="0" w:space="0" w:color="auto"/>
        <w:bottom w:val="none" w:sz="0" w:space="0" w:color="auto"/>
        <w:right w:val="none" w:sz="0" w:space="0" w:color="auto"/>
      </w:divBdr>
    </w:div>
    <w:div w:id="1668897872">
      <w:bodyDiv w:val="1"/>
      <w:marLeft w:val="0"/>
      <w:marRight w:val="0"/>
      <w:marTop w:val="0"/>
      <w:marBottom w:val="0"/>
      <w:divBdr>
        <w:top w:val="none" w:sz="0" w:space="0" w:color="auto"/>
        <w:left w:val="none" w:sz="0" w:space="0" w:color="auto"/>
        <w:bottom w:val="none" w:sz="0" w:space="0" w:color="auto"/>
        <w:right w:val="none" w:sz="0" w:space="0" w:color="auto"/>
      </w:divBdr>
    </w:div>
    <w:div w:id="1710255169">
      <w:bodyDiv w:val="1"/>
      <w:marLeft w:val="0"/>
      <w:marRight w:val="0"/>
      <w:marTop w:val="0"/>
      <w:marBottom w:val="0"/>
      <w:divBdr>
        <w:top w:val="none" w:sz="0" w:space="0" w:color="auto"/>
        <w:left w:val="none" w:sz="0" w:space="0" w:color="auto"/>
        <w:bottom w:val="none" w:sz="0" w:space="0" w:color="auto"/>
        <w:right w:val="none" w:sz="0" w:space="0" w:color="auto"/>
      </w:divBdr>
    </w:div>
    <w:div w:id="1714230837">
      <w:bodyDiv w:val="1"/>
      <w:marLeft w:val="0"/>
      <w:marRight w:val="0"/>
      <w:marTop w:val="0"/>
      <w:marBottom w:val="0"/>
      <w:divBdr>
        <w:top w:val="none" w:sz="0" w:space="0" w:color="auto"/>
        <w:left w:val="none" w:sz="0" w:space="0" w:color="auto"/>
        <w:bottom w:val="none" w:sz="0" w:space="0" w:color="auto"/>
        <w:right w:val="none" w:sz="0" w:space="0" w:color="auto"/>
      </w:divBdr>
    </w:div>
    <w:div w:id="1736315459">
      <w:bodyDiv w:val="1"/>
      <w:marLeft w:val="0"/>
      <w:marRight w:val="0"/>
      <w:marTop w:val="0"/>
      <w:marBottom w:val="0"/>
      <w:divBdr>
        <w:top w:val="none" w:sz="0" w:space="0" w:color="auto"/>
        <w:left w:val="none" w:sz="0" w:space="0" w:color="auto"/>
        <w:bottom w:val="none" w:sz="0" w:space="0" w:color="auto"/>
        <w:right w:val="none" w:sz="0" w:space="0" w:color="auto"/>
      </w:divBdr>
    </w:div>
    <w:div w:id="1743288925">
      <w:bodyDiv w:val="1"/>
      <w:marLeft w:val="0"/>
      <w:marRight w:val="0"/>
      <w:marTop w:val="0"/>
      <w:marBottom w:val="0"/>
      <w:divBdr>
        <w:top w:val="none" w:sz="0" w:space="0" w:color="auto"/>
        <w:left w:val="none" w:sz="0" w:space="0" w:color="auto"/>
        <w:bottom w:val="none" w:sz="0" w:space="0" w:color="auto"/>
        <w:right w:val="none" w:sz="0" w:space="0" w:color="auto"/>
      </w:divBdr>
    </w:div>
    <w:div w:id="1753819268">
      <w:bodyDiv w:val="1"/>
      <w:marLeft w:val="0"/>
      <w:marRight w:val="0"/>
      <w:marTop w:val="0"/>
      <w:marBottom w:val="0"/>
      <w:divBdr>
        <w:top w:val="none" w:sz="0" w:space="0" w:color="auto"/>
        <w:left w:val="none" w:sz="0" w:space="0" w:color="auto"/>
        <w:bottom w:val="none" w:sz="0" w:space="0" w:color="auto"/>
        <w:right w:val="none" w:sz="0" w:space="0" w:color="auto"/>
      </w:divBdr>
    </w:div>
    <w:div w:id="1756124085">
      <w:bodyDiv w:val="1"/>
      <w:marLeft w:val="0"/>
      <w:marRight w:val="0"/>
      <w:marTop w:val="0"/>
      <w:marBottom w:val="0"/>
      <w:divBdr>
        <w:top w:val="none" w:sz="0" w:space="0" w:color="auto"/>
        <w:left w:val="none" w:sz="0" w:space="0" w:color="auto"/>
        <w:bottom w:val="none" w:sz="0" w:space="0" w:color="auto"/>
        <w:right w:val="none" w:sz="0" w:space="0" w:color="auto"/>
      </w:divBdr>
    </w:div>
    <w:div w:id="1770421055">
      <w:bodyDiv w:val="1"/>
      <w:marLeft w:val="0"/>
      <w:marRight w:val="0"/>
      <w:marTop w:val="0"/>
      <w:marBottom w:val="0"/>
      <w:divBdr>
        <w:top w:val="none" w:sz="0" w:space="0" w:color="auto"/>
        <w:left w:val="none" w:sz="0" w:space="0" w:color="auto"/>
        <w:bottom w:val="none" w:sz="0" w:space="0" w:color="auto"/>
        <w:right w:val="none" w:sz="0" w:space="0" w:color="auto"/>
      </w:divBdr>
    </w:div>
    <w:div w:id="1776559097">
      <w:bodyDiv w:val="1"/>
      <w:marLeft w:val="0"/>
      <w:marRight w:val="0"/>
      <w:marTop w:val="0"/>
      <w:marBottom w:val="0"/>
      <w:divBdr>
        <w:top w:val="none" w:sz="0" w:space="0" w:color="auto"/>
        <w:left w:val="none" w:sz="0" w:space="0" w:color="auto"/>
        <w:bottom w:val="none" w:sz="0" w:space="0" w:color="auto"/>
        <w:right w:val="none" w:sz="0" w:space="0" w:color="auto"/>
      </w:divBdr>
    </w:div>
    <w:div w:id="1781560070">
      <w:bodyDiv w:val="1"/>
      <w:marLeft w:val="0"/>
      <w:marRight w:val="0"/>
      <w:marTop w:val="0"/>
      <w:marBottom w:val="0"/>
      <w:divBdr>
        <w:top w:val="none" w:sz="0" w:space="0" w:color="auto"/>
        <w:left w:val="none" w:sz="0" w:space="0" w:color="auto"/>
        <w:bottom w:val="none" w:sz="0" w:space="0" w:color="auto"/>
        <w:right w:val="none" w:sz="0" w:space="0" w:color="auto"/>
      </w:divBdr>
    </w:div>
    <w:div w:id="1781947373">
      <w:bodyDiv w:val="1"/>
      <w:marLeft w:val="0"/>
      <w:marRight w:val="0"/>
      <w:marTop w:val="0"/>
      <w:marBottom w:val="0"/>
      <w:divBdr>
        <w:top w:val="none" w:sz="0" w:space="0" w:color="auto"/>
        <w:left w:val="none" w:sz="0" w:space="0" w:color="auto"/>
        <w:bottom w:val="none" w:sz="0" w:space="0" w:color="auto"/>
        <w:right w:val="none" w:sz="0" w:space="0" w:color="auto"/>
      </w:divBdr>
    </w:div>
    <w:div w:id="1789347186">
      <w:bodyDiv w:val="1"/>
      <w:marLeft w:val="0"/>
      <w:marRight w:val="0"/>
      <w:marTop w:val="0"/>
      <w:marBottom w:val="0"/>
      <w:divBdr>
        <w:top w:val="none" w:sz="0" w:space="0" w:color="auto"/>
        <w:left w:val="none" w:sz="0" w:space="0" w:color="auto"/>
        <w:bottom w:val="none" w:sz="0" w:space="0" w:color="auto"/>
        <w:right w:val="none" w:sz="0" w:space="0" w:color="auto"/>
      </w:divBdr>
    </w:div>
    <w:div w:id="1810513420">
      <w:bodyDiv w:val="1"/>
      <w:marLeft w:val="0"/>
      <w:marRight w:val="0"/>
      <w:marTop w:val="0"/>
      <w:marBottom w:val="0"/>
      <w:divBdr>
        <w:top w:val="none" w:sz="0" w:space="0" w:color="auto"/>
        <w:left w:val="none" w:sz="0" w:space="0" w:color="auto"/>
        <w:bottom w:val="none" w:sz="0" w:space="0" w:color="auto"/>
        <w:right w:val="none" w:sz="0" w:space="0" w:color="auto"/>
      </w:divBdr>
    </w:div>
    <w:div w:id="1859999587">
      <w:bodyDiv w:val="1"/>
      <w:marLeft w:val="0"/>
      <w:marRight w:val="0"/>
      <w:marTop w:val="0"/>
      <w:marBottom w:val="0"/>
      <w:divBdr>
        <w:top w:val="none" w:sz="0" w:space="0" w:color="auto"/>
        <w:left w:val="none" w:sz="0" w:space="0" w:color="auto"/>
        <w:bottom w:val="none" w:sz="0" w:space="0" w:color="auto"/>
        <w:right w:val="none" w:sz="0" w:space="0" w:color="auto"/>
      </w:divBdr>
    </w:div>
    <w:div w:id="1866558121">
      <w:bodyDiv w:val="1"/>
      <w:marLeft w:val="0"/>
      <w:marRight w:val="0"/>
      <w:marTop w:val="0"/>
      <w:marBottom w:val="0"/>
      <w:divBdr>
        <w:top w:val="none" w:sz="0" w:space="0" w:color="auto"/>
        <w:left w:val="none" w:sz="0" w:space="0" w:color="auto"/>
        <w:bottom w:val="none" w:sz="0" w:space="0" w:color="auto"/>
        <w:right w:val="none" w:sz="0" w:space="0" w:color="auto"/>
      </w:divBdr>
    </w:div>
    <w:div w:id="1867713700">
      <w:bodyDiv w:val="1"/>
      <w:marLeft w:val="0"/>
      <w:marRight w:val="0"/>
      <w:marTop w:val="0"/>
      <w:marBottom w:val="0"/>
      <w:divBdr>
        <w:top w:val="none" w:sz="0" w:space="0" w:color="auto"/>
        <w:left w:val="none" w:sz="0" w:space="0" w:color="auto"/>
        <w:bottom w:val="none" w:sz="0" w:space="0" w:color="auto"/>
        <w:right w:val="none" w:sz="0" w:space="0" w:color="auto"/>
      </w:divBdr>
    </w:div>
    <w:div w:id="1914701031">
      <w:bodyDiv w:val="1"/>
      <w:marLeft w:val="0"/>
      <w:marRight w:val="0"/>
      <w:marTop w:val="0"/>
      <w:marBottom w:val="0"/>
      <w:divBdr>
        <w:top w:val="none" w:sz="0" w:space="0" w:color="auto"/>
        <w:left w:val="none" w:sz="0" w:space="0" w:color="auto"/>
        <w:bottom w:val="none" w:sz="0" w:space="0" w:color="auto"/>
        <w:right w:val="none" w:sz="0" w:space="0" w:color="auto"/>
      </w:divBdr>
    </w:div>
    <w:div w:id="1925722757">
      <w:bodyDiv w:val="1"/>
      <w:marLeft w:val="0"/>
      <w:marRight w:val="0"/>
      <w:marTop w:val="0"/>
      <w:marBottom w:val="0"/>
      <w:divBdr>
        <w:top w:val="none" w:sz="0" w:space="0" w:color="auto"/>
        <w:left w:val="none" w:sz="0" w:space="0" w:color="auto"/>
        <w:bottom w:val="none" w:sz="0" w:space="0" w:color="auto"/>
        <w:right w:val="none" w:sz="0" w:space="0" w:color="auto"/>
      </w:divBdr>
    </w:div>
    <w:div w:id="1926068374">
      <w:bodyDiv w:val="1"/>
      <w:marLeft w:val="0"/>
      <w:marRight w:val="0"/>
      <w:marTop w:val="0"/>
      <w:marBottom w:val="0"/>
      <w:divBdr>
        <w:top w:val="none" w:sz="0" w:space="0" w:color="auto"/>
        <w:left w:val="none" w:sz="0" w:space="0" w:color="auto"/>
        <w:bottom w:val="none" w:sz="0" w:space="0" w:color="auto"/>
        <w:right w:val="none" w:sz="0" w:space="0" w:color="auto"/>
      </w:divBdr>
    </w:div>
    <w:div w:id="1927885668">
      <w:bodyDiv w:val="1"/>
      <w:marLeft w:val="0"/>
      <w:marRight w:val="0"/>
      <w:marTop w:val="0"/>
      <w:marBottom w:val="0"/>
      <w:divBdr>
        <w:top w:val="none" w:sz="0" w:space="0" w:color="auto"/>
        <w:left w:val="none" w:sz="0" w:space="0" w:color="auto"/>
        <w:bottom w:val="none" w:sz="0" w:space="0" w:color="auto"/>
        <w:right w:val="none" w:sz="0" w:space="0" w:color="auto"/>
      </w:divBdr>
    </w:div>
    <w:div w:id="1955594679">
      <w:bodyDiv w:val="1"/>
      <w:marLeft w:val="0"/>
      <w:marRight w:val="0"/>
      <w:marTop w:val="0"/>
      <w:marBottom w:val="0"/>
      <w:divBdr>
        <w:top w:val="none" w:sz="0" w:space="0" w:color="auto"/>
        <w:left w:val="none" w:sz="0" w:space="0" w:color="auto"/>
        <w:bottom w:val="none" w:sz="0" w:space="0" w:color="auto"/>
        <w:right w:val="none" w:sz="0" w:space="0" w:color="auto"/>
      </w:divBdr>
    </w:div>
    <w:div w:id="1968392753">
      <w:bodyDiv w:val="1"/>
      <w:marLeft w:val="0"/>
      <w:marRight w:val="0"/>
      <w:marTop w:val="0"/>
      <w:marBottom w:val="0"/>
      <w:divBdr>
        <w:top w:val="none" w:sz="0" w:space="0" w:color="auto"/>
        <w:left w:val="none" w:sz="0" w:space="0" w:color="auto"/>
        <w:bottom w:val="none" w:sz="0" w:space="0" w:color="auto"/>
        <w:right w:val="none" w:sz="0" w:space="0" w:color="auto"/>
      </w:divBdr>
    </w:div>
    <w:div w:id="1978489962">
      <w:bodyDiv w:val="1"/>
      <w:marLeft w:val="0"/>
      <w:marRight w:val="0"/>
      <w:marTop w:val="0"/>
      <w:marBottom w:val="0"/>
      <w:divBdr>
        <w:top w:val="none" w:sz="0" w:space="0" w:color="auto"/>
        <w:left w:val="none" w:sz="0" w:space="0" w:color="auto"/>
        <w:bottom w:val="none" w:sz="0" w:space="0" w:color="auto"/>
        <w:right w:val="none" w:sz="0" w:space="0" w:color="auto"/>
      </w:divBdr>
    </w:div>
    <w:div w:id="1979214809">
      <w:bodyDiv w:val="1"/>
      <w:marLeft w:val="0"/>
      <w:marRight w:val="0"/>
      <w:marTop w:val="0"/>
      <w:marBottom w:val="0"/>
      <w:divBdr>
        <w:top w:val="none" w:sz="0" w:space="0" w:color="auto"/>
        <w:left w:val="none" w:sz="0" w:space="0" w:color="auto"/>
        <w:bottom w:val="none" w:sz="0" w:space="0" w:color="auto"/>
        <w:right w:val="none" w:sz="0" w:space="0" w:color="auto"/>
      </w:divBdr>
    </w:div>
    <w:div w:id="1983580977">
      <w:bodyDiv w:val="1"/>
      <w:marLeft w:val="0"/>
      <w:marRight w:val="0"/>
      <w:marTop w:val="0"/>
      <w:marBottom w:val="0"/>
      <w:divBdr>
        <w:top w:val="none" w:sz="0" w:space="0" w:color="auto"/>
        <w:left w:val="none" w:sz="0" w:space="0" w:color="auto"/>
        <w:bottom w:val="none" w:sz="0" w:space="0" w:color="auto"/>
        <w:right w:val="none" w:sz="0" w:space="0" w:color="auto"/>
      </w:divBdr>
    </w:div>
    <w:div w:id="2000302438">
      <w:bodyDiv w:val="1"/>
      <w:marLeft w:val="0"/>
      <w:marRight w:val="0"/>
      <w:marTop w:val="0"/>
      <w:marBottom w:val="0"/>
      <w:divBdr>
        <w:top w:val="none" w:sz="0" w:space="0" w:color="auto"/>
        <w:left w:val="none" w:sz="0" w:space="0" w:color="auto"/>
        <w:bottom w:val="none" w:sz="0" w:space="0" w:color="auto"/>
        <w:right w:val="none" w:sz="0" w:space="0" w:color="auto"/>
      </w:divBdr>
    </w:div>
    <w:div w:id="2020810492">
      <w:bodyDiv w:val="1"/>
      <w:marLeft w:val="0"/>
      <w:marRight w:val="0"/>
      <w:marTop w:val="0"/>
      <w:marBottom w:val="0"/>
      <w:divBdr>
        <w:top w:val="none" w:sz="0" w:space="0" w:color="auto"/>
        <w:left w:val="none" w:sz="0" w:space="0" w:color="auto"/>
        <w:bottom w:val="none" w:sz="0" w:space="0" w:color="auto"/>
        <w:right w:val="none" w:sz="0" w:space="0" w:color="auto"/>
      </w:divBdr>
    </w:div>
    <w:div w:id="2038463654">
      <w:bodyDiv w:val="1"/>
      <w:marLeft w:val="0"/>
      <w:marRight w:val="0"/>
      <w:marTop w:val="0"/>
      <w:marBottom w:val="0"/>
      <w:divBdr>
        <w:top w:val="none" w:sz="0" w:space="0" w:color="auto"/>
        <w:left w:val="none" w:sz="0" w:space="0" w:color="auto"/>
        <w:bottom w:val="none" w:sz="0" w:space="0" w:color="auto"/>
        <w:right w:val="none" w:sz="0" w:space="0" w:color="auto"/>
      </w:divBdr>
    </w:div>
    <w:div w:id="2053308967">
      <w:bodyDiv w:val="1"/>
      <w:marLeft w:val="0"/>
      <w:marRight w:val="0"/>
      <w:marTop w:val="0"/>
      <w:marBottom w:val="0"/>
      <w:divBdr>
        <w:top w:val="none" w:sz="0" w:space="0" w:color="auto"/>
        <w:left w:val="none" w:sz="0" w:space="0" w:color="auto"/>
        <w:bottom w:val="none" w:sz="0" w:space="0" w:color="auto"/>
        <w:right w:val="none" w:sz="0" w:space="0" w:color="auto"/>
      </w:divBdr>
    </w:div>
    <w:div w:id="2086293236">
      <w:bodyDiv w:val="1"/>
      <w:marLeft w:val="0"/>
      <w:marRight w:val="0"/>
      <w:marTop w:val="0"/>
      <w:marBottom w:val="0"/>
      <w:divBdr>
        <w:top w:val="none" w:sz="0" w:space="0" w:color="auto"/>
        <w:left w:val="none" w:sz="0" w:space="0" w:color="auto"/>
        <w:bottom w:val="none" w:sz="0" w:space="0" w:color="auto"/>
        <w:right w:val="none" w:sz="0" w:space="0" w:color="auto"/>
      </w:divBdr>
    </w:div>
    <w:div w:id="2098863313">
      <w:bodyDiv w:val="1"/>
      <w:marLeft w:val="0"/>
      <w:marRight w:val="0"/>
      <w:marTop w:val="0"/>
      <w:marBottom w:val="0"/>
      <w:divBdr>
        <w:top w:val="none" w:sz="0" w:space="0" w:color="auto"/>
        <w:left w:val="none" w:sz="0" w:space="0" w:color="auto"/>
        <w:bottom w:val="none" w:sz="0" w:space="0" w:color="auto"/>
        <w:right w:val="none" w:sz="0" w:space="0" w:color="auto"/>
      </w:divBdr>
    </w:div>
    <w:div w:id="21146620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image" Target="media/image1.jpeg"/><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Joh87</b:Tag>
    <b:SourceType>JournalArticle</b:SourceType>
    <b:Guid>{72281146-4ADC-4561-A01E-F4F71351CFEE}</b:Guid>
    <b:Title>New partial skeleton of Homo habilis from Olduvai Gorge, Tanzania</b:Title>
    <b:Year>1987</b:Year>
    <b:JournalName>Nature</b:JournalName>
    <b:Pages>205-209</b:Pages>
    <b:Author>
      <b:Author>
        <b:NameList>
          <b:Person>
            <b:Last>Johanson</b:Last>
            <b:First>Donald</b:First>
            <b:Middle>C.</b:Middle>
          </b:Person>
          <b:Person>
            <b:Last>Masao</b:Last>
            <b:First>Fidelis</b:First>
            <b:Middle>T.</b:Middle>
          </b:Person>
          <b:Person>
            <b:Last>Eck</b:Last>
            <b:First>Gerald</b:First>
            <b:Middle>G.</b:Middle>
          </b:Person>
          <b:Person>
            <b:Last>White</b:Last>
            <b:First>Tim</b:First>
            <b:Middle>D.</b:Middle>
          </b:Person>
          <b:Person>
            <b:Last>Walter</b:Last>
            <b:First>Robert</b:First>
            <b:Middle>C.</b:Middle>
          </b:Person>
          <b:Person>
            <b:Last>Kimbel</b:Last>
            <b:First>William</b:First>
            <b:Middle>H.</b:Middle>
          </b:Person>
          <b:Person>
            <b:Last>Asfaw</b:Last>
            <b:First>Berhane</b:First>
          </b:Person>
          <b:Person>
            <b:Last>Manega</b:Last>
            <b:First>Paul</b:First>
          </b:Person>
          <b:Person>
            <b:Last>Ndessokia</b:Last>
            <b:First>Prosper</b:First>
          </b:Person>
          <b:Person>
            <b:Last>Suwa</b:Last>
            <b:First>Gen</b:First>
          </b:Person>
        </b:NameList>
      </b:Author>
    </b:Author>
    <b:Volume>327</b:Volume>
    <b:RefOrder>13</b:RefOrder>
  </b:Source>
  <b:Source>
    <b:Tag>Lea64</b:Tag>
    <b:SourceType>JournalArticle</b:SourceType>
    <b:Guid>{1B4A2932-1CFD-41CA-B4D1-6B02BEF4EED4}</b:Guid>
    <b:Author>
      <b:Author>
        <b:NameList>
          <b:Person>
            <b:Last>Leakey</b:Last>
            <b:First>Louis</b:First>
            <b:Middle>SB</b:Middle>
          </b:Person>
          <b:Person>
            <b:Last>Tobias</b:Last>
            <b:First>PV</b:First>
          </b:Person>
          <b:Person>
            <b:Last>Napier</b:Last>
            <b:First>JR</b:First>
          </b:Person>
        </b:NameList>
      </b:Author>
    </b:Author>
    <b:Title>A New Species of the Genus Homo from Olduvai Gorge</b:Title>
    <b:JournalName>Nature</b:JournalName>
    <b:Year>1964</b:Year>
    <b:Pages>7-9</b:Pages>
    <b:Volume>202</b:Volume>
    <b:RefOrder>2</b:RefOrder>
  </b:Source>
  <b:Source>
    <b:Tag>Lew87</b:Tag>
    <b:SourceType>JournalArticle</b:SourceType>
    <b:Guid>{271A7276-EA5B-40B7-B0B6-C8750AFFF168}</b:Guid>
    <b:Title>The Earliest "Humans" Were More like Apes</b:Title>
    <b:JournalName>Science</b:JournalName>
    <b:Year>1987</b:Year>
    <b:Pages>1061-1063</b:Pages>
    <b:Author>
      <b:Author>
        <b:NameList>
          <b:Person>
            <b:Last>Lewin</b:Last>
            <b:First>Roger</b:First>
          </b:Person>
        </b:NameList>
      </b:Author>
    </b:Author>
    <b:Volume>236</b:Volume>
    <b:RefOrder>6</b:RefOrder>
  </b:Source>
  <b:Source>
    <b:Tag>Woo92</b:Tag>
    <b:SourceType>JournalArticle</b:SourceType>
    <b:Guid>{F0EDA222-D5DC-407E-A1E5-5E8D092D8D6A}</b:Guid>
    <b:Author>
      <b:Author>
        <b:NameList>
          <b:Person>
            <b:Last>Wood</b:Last>
            <b:First>Bernard</b:First>
          </b:Person>
        </b:NameList>
      </b:Author>
    </b:Author>
    <b:Title>Origin and evolution of the genus Homo</b:Title>
    <b:JournalName>Nature</b:JournalName>
    <b:Year>1992</b:Year>
    <b:Pages>783-790</b:Pages>
    <b:Volume>355</b:Volume>
    <b:RefOrder>14</b:RefOrder>
  </b:Source>
  <b:Source>
    <b:Tag>Day77</b:Tag>
    <b:SourceType>BookSection</b:SourceType>
    <b:Guid>{71138AFF-AFBC-41D9-A5EB-A54374668622}</b:Guid>
    <b:Title>The Koobi Fora Remains</b:Title>
    <b:Year>1977</b:Year>
    <b:Pages>177-189</b:Pages>
    <b:Author>
      <b:Author>
        <b:NameList>
          <b:Person>
            <b:Last>Day</b:Last>
            <b:First>Michael</b:First>
            <b:Middle>H.</b:Middle>
          </b:Person>
        </b:NameList>
      </b:Author>
    </b:Author>
    <b:BookTitle>Guide to Fossil Man</b:BookTitle>
    <b:City>Chicago</b:City>
    <b:Publisher>University of Chicago Press</b:Publisher>
    <b:RefOrder>3</b:RefOrder>
  </b:Source>
  <b:Source>
    <b:Tag>Lea74</b:Tag>
    <b:SourceType>JournalArticle</b:SourceType>
    <b:Guid>{CDBBC2A1-981E-46DB-8E36-4432F6D47F04}</b:Guid>
    <b:Author>
      <b:Author>
        <b:NameList>
          <b:Person>
            <b:Last>Leakey</b:Last>
            <b:First>REF</b:First>
          </b:Person>
        </b:NameList>
      </b:Author>
    </b:Author>
    <b:Title>Further evidence of Lower Pleistocene hominids from East Rudolf, North Kenya, 1973</b:Title>
    <b:JournalName>Nature</b:JournalName>
    <b:Year>1974</b:Year>
    <b:Pages>653-656</b:Pages>
    <b:Volume>248</b:Volume>
    <b:RefOrder>1</b:RefOrder>
  </b:Source>
  <b:Source>
    <b:Tag>Lea73</b:Tag>
    <b:SourceType>JournalArticle</b:SourceType>
    <b:Guid>{0770E0C5-0603-4623-971D-67EF0F4176B6}</b:Guid>
    <b:Title>Evidence for an Advanced Plio-Pleistocene Hominid from East Rudolf, Kenya</b:Title>
    <b:Year>1973</b:Year>
    <b:Pages>447-450</b:Pages>
    <b:Author>
      <b:Author>
        <b:NameList>
          <b:Person>
            <b:Last>Leakey</b:Last>
            <b:First>REF</b:First>
          </b:Person>
        </b:NameList>
      </b:Author>
    </b:Author>
    <b:JournalName>Nature</b:JournalName>
    <b:Volume>242</b:Volume>
    <b:RefOrder>15</b:RefOrder>
  </b:Source>
  <b:Source>
    <b:Tag>Fer95</b:Tag>
    <b:SourceType>JournalArticle</b:SourceType>
    <b:Guid>{84025A21-A650-48FC-A059-A29B7F29809B}</b:Guid>
    <b:Author>
      <b:Author>
        <b:NameList>
          <b:Person>
            <b:Last>Ferguson</b:Last>
            <b:First>Walter</b:First>
            <b:Middle>W.</b:Middle>
          </b:Person>
        </b:NameList>
      </b:Author>
    </b:Author>
    <b:Title>A New Species of the Genus Homo (Primates: Hominidae) from the Plio/Pleistocene of Koobi Fora, in Kenya</b:Title>
    <b:JournalName>Primates</b:JournalName>
    <b:Year>1995</b:Year>
    <b:Pages>69-89</b:Pages>
    <b:Volume>36</b:Volume>
    <b:RefOrder>8</b:RefOrder>
  </b:Source>
  <b:Source>
    <b:Tag>Wal76</b:Tag>
    <b:SourceType>BookSection</b:SourceType>
    <b:Guid>{3FA3AF0D-F881-4134-8738-43A9118E76B7}</b:Guid>
    <b:Title>Remains Attributable to Australopithecus in the East Rudolf Succession</b:Title>
    <b:Year>1976</b:Year>
    <b:Pages>484-489</b:Pages>
    <b:Author>
      <b:Author>
        <b:NameList>
          <b:Person>
            <b:Last>Walker</b:Last>
            <b:First>A.</b:First>
          </b:Person>
        </b:NameList>
      </b:Author>
      <b:Editor>
        <b:NameList>
          <b:Person>
            <b:Last>Coppens</b:Last>
            <b:First>Y</b:First>
          </b:Person>
          <b:Person>
            <b:Last>Howell</b:Last>
            <b:First>G</b:First>
          </b:Person>
          <b:Person>
            <b:Last>Isaac</b:Last>
            <b:First>LI</b:First>
          </b:Person>
          <b:Person>
            <b:Last>Leakey</b:Last>
            <b:First>REF</b:First>
          </b:Person>
        </b:NameList>
      </b:Editor>
    </b:Author>
    <b:BookTitle>Earliest Man and Environments in the Lake Rudolf Basin</b:BookTitle>
    <b:City>Chicago</b:City>
    <b:Publisher>University of Chicago Press</b:Publisher>
    <b:RefOrder>16</b:RefOrder>
  </b:Source>
  <b:Source>
    <b:Tag>Loc99</b:Tag>
    <b:SourceType>JournalArticle</b:SourceType>
    <b:Guid>{5F973CD7-8389-463B-9A4F-D4E794A826E6}</b:Guid>
    <b:Title>Sexual Dimorphism in the Face of Australopithecus africanus</b:Title>
    <b:Year>1999</b:Year>
    <b:Pages>97-127</b:Pages>
    <b:Author>
      <b:Author>
        <b:NameList>
          <b:Person>
            <b:Last>Lockwood</b:Last>
            <b:First>Charles</b:First>
            <b:Middle>A.</b:Middle>
          </b:Person>
        </b:NameList>
      </b:Author>
    </b:Author>
    <b:JournalName>Am J Phys Anthropol</b:JournalName>
    <b:Volume>108</b:Volume>
    <b:RefOrder>10</b:RefOrder>
  </b:Source>
  <b:Source>
    <b:Tag>van13</b:Tag>
    <b:SourceType>JournalArticle</b:SourceType>
    <b:Guid>{BCDDADB7-2C02-49EE-8A55-19ED0B52D7A7}</b:Guid>
    <b:Author>
      <b:Author>
        <b:NameList>
          <b:Person>
            <b:Last>van Arsdale</b:Last>
            <b:First>Adam</b:First>
            <b:Middle>P.</b:Middle>
          </b:Person>
          <b:Person>
            <b:Last>Wolpoff</b:Last>
            <b:First>Milford</b:First>
            <b:Middle>H.</b:Middle>
          </b:Person>
        </b:NameList>
      </b:Author>
    </b:Author>
    <b:Title>A Single Lineage in Early Pleistocene Homo: Size Variation Continuity in Early Pleistocene Homo Crania from East Africa and Georgia</b:Title>
    <b:JournalName>Evolution</b:JournalName>
    <b:Year>2013</b:Year>
    <b:Pages>841-850</b:Pages>
    <b:Volume>67</b:Volume>
    <b:RefOrder>11</b:RefOrder>
  </b:Source>
  <b:Source>
    <b:Tag>Lor13</b:Tag>
    <b:SourceType>JournalArticle</b:SourceType>
    <b:Guid>{84AAD7BD-36BB-44F8-A0A0-DCCEB940CE9C}</b:Guid>
    <b:Author>
      <b:Author>
        <b:NameList>
          <b:Person>
            <b:Last>Lordipanidze</b:Last>
            <b:First>David</b:First>
          </b:Person>
          <b:Person>
            <b:Last>Ponce de Léon</b:Last>
            <b:First>Marcia</b:First>
            <b:Middle>S.</b:Middle>
          </b:Person>
          <b:Person>
            <b:Last>Margvelashvili</b:Last>
            <b:First>Ann</b:First>
          </b:Person>
          <b:Person>
            <b:Last>Rak</b:Last>
            <b:First>Yoel</b:First>
          </b:Person>
          <b:Person>
            <b:Last>Rightmire</b:Last>
            <b:First>G.</b:First>
            <b:Middle>Philip</b:Middle>
          </b:Person>
          <b:Person>
            <b:Last>Vekua</b:Last>
            <b:First>Abesalom</b:First>
          </b:Person>
          <b:Person>
            <b:Last>Zollikofer</b:Last>
            <b:First>Christoph,</b:First>
            <b:Middle>PE</b:Middle>
          </b:Person>
        </b:NameList>
      </b:Author>
    </b:Author>
    <b:Title>A Complete Skull from Dmanisi, Georgia, and the Evolutionary Biology of Early Homo</b:Title>
    <b:JournalName>Science</b:JournalName>
    <b:Year>2013</b:Year>
    <b:Pages>326-311</b:Pages>
    <b:Volume>342</b:Volume>
    <b:RefOrder>12</b:RefOrder>
  </b:Source>
  <b:Source>
    <b:Tag>Woo16</b:Tag>
    <b:SourceType>Misc</b:SourceType>
    <b:Guid>{98F0DDF8-DF95-420B-ACFE-A785926261E9}</b:Guid>
    <b:Title>Homo - What, Who, When, Where?</b:Title>
    <b:Year>2016</b:Year>
    <b:PublicationTitle>Origins of the Genus Homo</b:PublicationTitle>
    <b:Publisher>CARTA</b:Publisher>
    <b:Author>
      <b:Writer>
        <b:NameList>
          <b:Person>
            <b:Last>Wood</b:Last>
            <b:First>Bernard</b:First>
          </b:Person>
        </b:NameList>
      </b:Writer>
      <b:Author>
        <b:NameList>
          <b:Person>
            <b:Last>Wood</b:Last>
            <b:First>Bernard</b:First>
          </b:Person>
        </b:NameList>
      </b:Author>
    </b:Author>
    <b:RefOrder>17</b:RefOrder>
  </b:Source>
  <b:Source>
    <b:Tag>Gat06</b:Tag>
    <b:SourceType>JournalArticle</b:SourceType>
    <b:Guid>{63E2CBF4-017A-456C-98CE-C38AC5C91416}</b:Guid>
    <b:Title>Revised stratigraphy of Area 123, Koobi Fora, Kenya, and new age estimates of its fossil mammals, including hominins</b:Title>
    <b:Year>2006</b:Year>
    <b:Author>
      <b:Author>
        <b:NameList>
          <b:Person>
            <b:Last>Gathogo</b:Last>
            <b:First>Patrick</b:First>
            <b:Middle>N.</b:Middle>
          </b:Person>
          <b:Person>
            <b:Last>Brown</b:Last>
            <b:First>Francis</b:First>
            <b:Middle>H.</b:Middle>
          </b:Person>
        </b:NameList>
      </b:Author>
    </b:Author>
    <b:JournalName>J Hum Evol</b:JournalName>
    <b:Pages>471-479</b:Pages>
    <b:Volume>51</b:Volume>
    <b:RefOrder>5</b:RefOrder>
  </b:Source>
  <b:Source>
    <b:Tag>Ant12</b:Tag>
    <b:SourceType>JournalArticle</b:SourceType>
    <b:Guid>{C438A864-C46D-49A9-9452-C74363813525}</b:Guid>
    <b:Author>
      <b:Author>
        <b:NameList>
          <b:Person>
            <b:Last>Antón</b:Last>
            <b:First>Susan</b:First>
            <b:Middle>C.</b:Middle>
          </b:Person>
        </b:NameList>
      </b:Author>
    </b:Author>
    <b:Title>Early Homo Who, When, and Where</b:Title>
    <b:JournalName>Curr Anthropol</b:JournalName>
    <b:Year>2012</b:Year>
    <b:Pages>S278-S298</b:Pages>
    <b:Volume>53</b:Volume>
    <b:RefOrder>7</b:RefOrder>
  </b:Source>
  <b:Source>
    <b:Tag>Fei09</b:Tag>
    <b:SourceType>JournalArticle</b:SourceType>
    <b:Guid>{3EFBB3B1-587F-4479-84DB-3D9159E940B6}</b:Guid>
    <b:Author>
      <b:Author>
        <b:NameList>
          <b:Person>
            <b:Last>Feibel</b:Last>
            <b:First>Craig</b:First>
            <b:Middle>S.</b:Middle>
          </b:Person>
          <b:Person>
            <b:Last>Lepre</b:Last>
            <b:First>Christopher</b:First>
            <b:Middle>J.</b:Middle>
          </b:Person>
          <b:Person>
            <b:Last>Quinn</b:Last>
            <b:First>Rhonda</b:First>
            <b:Middle>L.</b:Middle>
          </b:Person>
        </b:NameList>
      </b:Author>
    </b:Author>
    <b:Title>Stratigraphy, correlation, and age estimates for fossils from Area 123</b:Title>
    <b:JournalName>J Hum Evol</b:JournalName>
    <b:Year>2009</b:Year>
    <b:Pages>112-122</b:Pages>
    <b:Volume>57</b:Volume>
    <b:RefOrder>4</b:RefOrder>
  </b:Source>
  <b:Source>
    <b:Tag>Lie88</b:Tag>
    <b:SourceType>JournalArticle</b:SourceType>
    <b:Guid>{E6353DDE-355E-42EE-AF54-08D60F3F376A}</b:Guid>
    <b:Author>
      <b:Author>
        <b:NameList>
          <b:Person>
            <b:Last>Lieberman</b:Last>
            <b:First>Daniel</b:First>
            <b:Middle>E.</b:Middle>
          </b:Person>
          <b:Person>
            <b:Last>Pilbeam</b:Last>
            <b:First>David</b:First>
            <b:Middle>R.</b:Middle>
          </b:Person>
          <b:Person>
            <b:Last>Wood</b:Last>
            <b:First>Bernard</b:First>
            <b:Middle>A.</b:Middle>
          </b:Person>
        </b:NameList>
      </b:Author>
    </b:Author>
    <b:Title>A probabilistic approach to the problem of sexual dimporphism in Homo habilis: a comparison of KNM-ER 1470 and KNM-ER 1813</b:Title>
    <b:JournalName>J Hum Evol</b:JournalName>
    <b:Year>1988</b:Year>
    <b:Pages>503-511</b:Pages>
    <b:Volume>17</b:Volume>
    <b:RefOrder>9</b:RefOrder>
  </b:Source>
</b:Sources>
</file>

<file path=customXml/itemProps1.xml><?xml version="1.0" encoding="utf-8"?>
<ds:datastoreItem xmlns:ds="http://schemas.openxmlformats.org/officeDocument/2006/customXml" ds:itemID="{3922C741-6503-4DD9-8DE1-D1BF4FB151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1848</TotalTime>
  <Pages>10</Pages>
  <Words>2494</Words>
  <Characters>14221</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16682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Schapker, Nicole Marie</dc:creator>
  <cp:keywords/>
  <dc:description/>
  <cp:lastModifiedBy>Schapker, Nicole Marie</cp:lastModifiedBy>
  <cp:revision>14</cp:revision>
  <dcterms:created xsi:type="dcterms:W3CDTF">2017-04-18T01:55:00Z</dcterms:created>
  <dcterms:modified xsi:type="dcterms:W3CDTF">2017-04-27T15:47:00Z</dcterms:modified>
</cp:coreProperties>
</file>